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FF62D" w14:textId="77777777" w:rsidR="00DC761E" w:rsidRPr="002F1509" w:rsidRDefault="00DC761E" w:rsidP="00F11BF7">
      <w:pPr>
        <w:pBdr>
          <w:bottom w:val="single" w:sz="4" w:space="1" w:color="auto"/>
        </w:pBdr>
        <w:spacing w:after="200" w:line="260" w:lineRule="atLeast"/>
        <w:ind w:right="-17"/>
        <w:rPr>
          <w:rFonts w:ascii="Verdana" w:hAnsi="Verdana"/>
          <w:sz w:val="20"/>
          <w:szCs w:val="20"/>
        </w:rPr>
      </w:pPr>
      <w:bookmarkStart w:id="0" w:name="_GoBack"/>
      <w:bookmarkEnd w:id="0"/>
      <w:r>
        <w:rPr>
          <w:rFonts w:ascii="Verdana" w:hAnsi="Verdana"/>
          <w:sz w:val="20"/>
          <w:szCs w:val="20"/>
        </w:rPr>
        <w:tab/>
      </w:r>
    </w:p>
    <w:p w14:paraId="18C3E8A1" w14:textId="77777777" w:rsidR="00DC761E" w:rsidRDefault="00DC761E" w:rsidP="00F11BF7">
      <w:pPr>
        <w:spacing w:after="240" w:line="260" w:lineRule="atLeast"/>
        <w:ind w:right="-14"/>
        <w:contextualSpacing/>
        <w:rPr>
          <w:rFonts w:ascii="Verdana" w:hAnsi="Verdana"/>
          <w:sz w:val="18"/>
          <w:szCs w:val="18"/>
        </w:rPr>
      </w:pPr>
      <w:r>
        <w:rPr>
          <w:rFonts w:ascii="Verdana" w:hAnsi="Verdana"/>
          <w:sz w:val="18"/>
          <w:szCs w:val="18"/>
        </w:rPr>
        <w:t>Landsverordening</w:t>
      </w:r>
      <w:r w:rsidRPr="001D1FB6">
        <w:rPr>
          <w:rFonts w:ascii="Verdana" w:hAnsi="Verdana"/>
          <w:sz w:val="18"/>
          <w:szCs w:val="18"/>
        </w:rPr>
        <w:t xml:space="preserve"> </w:t>
      </w:r>
      <w:r>
        <w:rPr>
          <w:rFonts w:ascii="Verdana" w:hAnsi="Verdana"/>
          <w:sz w:val="18"/>
          <w:szCs w:val="18"/>
        </w:rPr>
        <w:t>van de [</w:t>
      </w:r>
      <w:r w:rsidR="0096321E">
        <w:rPr>
          <w:rFonts w:ascii="Verdana" w:hAnsi="Verdana"/>
          <w:sz w:val="18"/>
          <w:szCs w:val="18"/>
        </w:rPr>
        <w:t>________</w:t>
      </w:r>
      <w:r>
        <w:rPr>
          <w:rFonts w:ascii="Verdana" w:hAnsi="Verdana"/>
          <w:sz w:val="18"/>
          <w:szCs w:val="18"/>
        </w:rPr>
        <w:t>]</w:t>
      </w:r>
    </w:p>
    <w:p w14:paraId="2EC01885" w14:textId="03FACB81" w:rsidR="00DC761E" w:rsidRDefault="00FE0D31" w:rsidP="00F11BF7">
      <w:pPr>
        <w:spacing w:after="240" w:line="260" w:lineRule="atLeast"/>
        <w:ind w:right="-14"/>
        <w:contextualSpacing/>
        <w:rPr>
          <w:rFonts w:ascii="Verdana" w:hAnsi="Verdana"/>
          <w:sz w:val="18"/>
          <w:szCs w:val="18"/>
        </w:rPr>
      </w:pPr>
      <w:bookmarkStart w:id="1" w:name="_Hlk5136184"/>
      <w:r>
        <w:rPr>
          <w:rFonts w:ascii="Verdana" w:hAnsi="Verdana"/>
          <w:sz w:val="18"/>
          <w:szCs w:val="18"/>
        </w:rPr>
        <w:t xml:space="preserve">Op </w:t>
      </w:r>
      <w:r w:rsidRPr="00FE0D31">
        <w:rPr>
          <w:rFonts w:ascii="Verdana" w:hAnsi="Verdana"/>
          <w:sz w:val="18"/>
          <w:szCs w:val="18"/>
        </w:rPr>
        <w:t xml:space="preserve">bescherming van consumenten in de bank- en financiële sector </w:t>
      </w:r>
      <w:r w:rsidR="00547444">
        <w:rPr>
          <w:rFonts w:ascii="Verdana" w:hAnsi="Verdana"/>
          <w:sz w:val="18"/>
          <w:szCs w:val="18"/>
        </w:rPr>
        <w:t>St. Maarten</w:t>
      </w:r>
      <w:r w:rsidR="00345776">
        <w:rPr>
          <w:rFonts w:ascii="Verdana" w:hAnsi="Verdana"/>
          <w:sz w:val="18"/>
          <w:szCs w:val="18"/>
        </w:rPr>
        <w:t xml:space="preserve"> (landsvero</w:t>
      </w:r>
      <w:r w:rsidR="0066290D">
        <w:rPr>
          <w:rFonts w:ascii="Verdana" w:hAnsi="Verdana"/>
          <w:sz w:val="18"/>
          <w:szCs w:val="18"/>
        </w:rPr>
        <w:t>r</w:t>
      </w:r>
      <w:r w:rsidR="00345776">
        <w:rPr>
          <w:rFonts w:ascii="Verdana" w:hAnsi="Verdana"/>
          <w:sz w:val="18"/>
          <w:szCs w:val="18"/>
        </w:rPr>
        <w:t xml:space="preserve">dening </w:t>
      </w:r>
      <w:r w:rsidR="0066290D">
        <w:rPr>
          <w:rFonts w:ascii="Verdana" w:hAnsi="Verdana"/>
          <w:sz w:val="18"/>
          <w:szCs w:val="18"/>
        </w:rPr>
        <w:t>consumenten</w:t>
      </w:r>
      <w:r w:rsidR="00345776">
        <w:rPr>
          <w:rFonts w:ascii="Verdana" w:hAnsi="Verdana"/>
          <w:sz w:val="18"/>
          <w:szCs w:val="18"/>
        </w:rPr>
        <w:t xml:space="preserve">bescherming </w:t>
      </w:r>
      <w:r w:rsidR="00F16A0E">
        <w:rPr>
          <w:rFonts w:ascii="Verdana" w:hAnsi="Verdana"/>
          <w:sz w:val="18"/>
          <w:szCs w:val="18"/>
        </w:rPr>
        <w:t>financiën en bankieren)</w:t>
      </w:r>
    </w:p>
    <w:bookmarkEnd w:id="1"/>
    <w:p w14:paraId="1A796A5B" w14:textId="77777777" w:rsidR="00DC761E" w:rsidRPr="001D1FB6" w:rsidRDefault="00DC761E" w:rsidP="00F11BF7">
      <w:pPr>
        <w:spacing w:after="240" w:line="260" w:lineRule="atLeast"/>
        <w:ind w:right="-14"/>
        <w:contextualSpacing/>
        <w:rPr>
          <w:rFonts w:ascii="Verdana" w:hAnsi="Verdana"/>
          <w:sz w:val="18"/>
          <w:szCs w:val="18"/>
        </w:rPr>
      </w:pPr>
    </w:p>
    <w:p w14:paraId="3EF1D5D6" w14:textId="77777777" w:rsidR="00DC761E" w:rsidRDefault="00DC761E" w:rsidP="00F11BF7">
      <w:pPr>
        <w:pBdr>
          <w:top w:val="single" w:sz="4" w:space="1" w:color="auto"/>
        </w:pBdr>
        <w:spacing w:line="260" w:lineRule="atLeast"/>
        <w:ind w:right="-16"/>
        <w:rPr>
          <w:rFonts w:ascii="Verdana" w:hAnsi="Verdana"/>
          <w:sz w:val="18"/>
          <w:szCs w:val="18"/>
        </w:rPr>
      </w:pPr>
    </w:p>
    <w:p w14:paraId="5EA55618" w14:textId="5BC8B67F" w:rsidR="00DC761E" w:rsidRDefault="00DC761E" w:rsidP="00F11BF7">
      <w:pPr>
        <w:spacing w:line="260" w:lineRule="atLeast"/>
        <w:ind w:right="-16"/>
        <w:jc w:val="center"/>
        <w:rPr>
          <w:rFonts w:ascii="Verdana" w:hAnsi="Verdana"/>
          <w:sz w:val="20"/>
          <w:szCs w:val="20"/>
        </w:rPr>
      </w:pPr>
      <w:r w:rsidRPr="00B63E24">
        <w:rPr>
          <w:rFonts w:ascii="Verdana" w:hAnsi="Verdana"/>
          <w:sz w:val="20"/>
          <w:szCs w:val="20"/>
        </w:rPr>
        <w:t>ONTWERP</w:t>
      </w:r>
    </w:p>
    <w:p w14:paraId="3C1BA6BA" w14:textId="77777777" w:rsidR="003C16AF" w:rsidRDefault="003C16AF" w:rsidP="00F11BF7">
      <w:pPr>
        <w:spacing w:line="260" w:lineRule="atLeast"/>
        <w:ind w:right="-16"/>
        <w:jc w:val="center"/>
        <w:rPr>
          <w:rFonts w:ascii="Verdana" w:hAnsi="Verdana"/>
          <w:sz w:val="20"/>
          <w:szCs w:val="20"/>
        </w:rPr>
      </w:pPr>
    </w:p>
    <w:p w14:paraId="7711B64D" w14:textId="10F599C4" w:rsidR="003C16AF" w:rsidRPr="003C16AF" w:rsidRDefault="003C16AF" w:rsidP="00F11BF7">
      <w:pPr>
        <w:spacing w:line="260" w:lineRule="atLeast"/>
        <w:ind w:right="-16"/>
        <w:jc w:val="center"/>
        <w:rPr>
          <w:rFonts w:ascii="Verdana" w:hAnsi="Verdana"/>
          <w:color w:val="FF0000"/>
          <w:sz w:val="20"/>
          <w:szCs w:val="20"/>
          <w:lang w:val="en-US"/>
        </w:rPr>
      </w:pPr>
      <w:r>
        <w:rPr>
          <w:rFonts w:ascii="Verdana" w:hAnsi="Verdana"/>
          <w:color w:val="FF0000"/>
          <w:sz w:val="20"/>
          <w:szCs w:val="20"/>
          <w:lang w:val="en-US"/>
        </w:rPr>
        <w:t>“</w:t>
      </w:r>
      <w:r w:rsidRPr="003C16AF">
        <w:rPr>
          <w:rFonts w:ascii="Verdana" w:hAnsi="Verdana"/>
          <w:color w:val="FF0000"/>
          <w:sz w:val="20"/>
          <w:szCs w:val="20"/>
          <w:lang w:val="en-US"/>
        </w:rPr>
        <w:t xml:space="preserve">NOTE THAT THIS IS </w:t>
      </w:r>
      <w:proofErr w:type="gramStart"/>
      <w:r w:rsidRPr="003C16AF">
        <w:rPr>
          <w:rFonts w:ascii="Verdana" w:hAnsi="Verdana"/>
          <w:color w:val="FF0000"/>
          <w:sz w:val="20"/>
          <w:szCs w:val="20"/>
          <w:lang w:val="en-US"/>
        </w:rPr>
        <w:t>A</w:t>
      </w:r>
      <w:proofErr w:type="gramEnd"/>
      <w:r>
        <w:rPr>
          <w:rFonts w:ascii="Verdana" w:hAnsi="Verdana"/>
          <w:color w:val="FF0000"/>
          <w:sz w:val="20"/>
          <w:szCs w:val="20"/>
          <w:lang w:val="en-US"/>
        </w:rPr>
        <w:t xml:space="preserve"> ABBREVIATED VERSION OF THE DRAFT FOR THE PRESS AND PUBLIC CONSUMPTION” MP BRISON.</w:t>
      </w:r>
    </w:p>
    <w:p w14:paraId="07E4D161" w14:textId="77777777" w:rsidR="00DC761E" w:rsidRPr="003C16AF" w:rsidRDefault="00DC761E" w:rsidP="00F11BF7">
      <w:pPr>
        <w:spacing w:line="260" w:lineRule="atLeast"/>
        <w:ind w:right="-16"/>
        <w:rPr>
          <w:rFonts w:ascii="Verdana" w:hAnsi="Verdana"/>
          <w:sz w:val="18"/>
          <w:szCs w:val="18"/>
          <w:lang w:val="en-US"/>
        </w:rPr>
      </w:pPr>
    </w:p>
    <w:p w14:paraId="704136F9" w14:textId="77777777" w:rsidR="00DC761E" w:rsidRPr="003C16AF" w:rsidRDefault="00DC761E" w:rsidP="00F11BF7">
      <w:pPr>
        <w:spacing w:line="260" w:lineRule="atLeast"/>
        <w:jc w:val="center"/>
        <w:rPr>
          <w:rFonts w:ascii="Verdana" w:hAnsi="Verdana"/>
          <w:sz w:val="18"/>
          <w:szCs w:val="18"/>
          <w:lang w:val="en-US"/>
        </w:rPr>
      </w:pPr>
    </w:p>
    <w:p w14:paraId="75BF977E" w14:textId="77777777" w:rsidR="00DC761E" w:rsidRPr="003C16AF" w:rsidRDefault="00DC761E" w:rsidP="00F11BF7">
      <w:pPr>
        <w:spacing w:line="260" w:lineRule="atLeast"/>
        <w:jc w:val="center"/>
        <w:rPr>
          <w:rFonts w:ascii="Verdana" w:hAnsi="Verdana"/>
          <w:sz w:val="18"/>
          <w:szCs w:val="18"/>
          <w:lang w:val="en-US"/>
        </w:rPr>
        <w:sectPr w:rsidR="00DC761E" w:rsidRPr="003C16AF" w:rsidSect="00DC761E">
          <w:footerReference w:type="even" r:id="rId8"/>
          <w:footerReference w:type="default" r:id="rId9"/>
          <w:pgSz w:w="11906" w:h="16838" w:code="9"/>
          <w:pgMar w:top="1418" w:right="5670" w:bottom="1418" w:left="1361" w:header="709" w:footer="709" w:gutter="0"/>
          <w:cols w:space="720"/>
          <w:titlePg/>
          <w:docGrid w:linePitch="360"/>
        </w:sectPr>
      </w:pPr>
    </w:p>
    <w:p w14:paraId="5223B46F" w14:textId="77777777" w:rsidR="00DC761E" w:rsidRPr="003C16AF" w:rsidRDefault="00DC761E" w:rsidP="00F11BF7">
      <w:pPr>
        <w:spacing w:line="260" w:lineRule="atLeast"/>
        <w:jc w:val="center"/>
        <w:rPr>
          <w:rFonts w:ascii="Verdana" w:hAnsi="Verdana"/>
          <w:sz w:val="18"/>
          <w:szCs w:val="18"/>
          <w:lang w:val="en-US"/>
        </w:rPr>
      </w:pPr>
    </w:p>
    <w:p w14:paraId="3ECDE350" w14:textId="77777777" w:rsidR="00DC761E" w:rsidRPr="003C16AF" w:rsidRDefault="00DC761E" w:rsidP="00F11BF7">
      <w:pPr>
        <w:spacing w:line="260" w:lineRule="atLeast"/>
        <w:jc w:val="center"/>
        <w:rPr>
          <w:rFonts w:ascii="Verdana" w:hAnsi="Verdana"/>
          <w:sz w:val="18"/>
          <w:szCs w:val="18"/>
          <w:lang w:val="en-US"/>
        </w:rPr>
      </w:pPr>
    </w:p>
    <w:p w14:paraId="7B96377F" w14:textId="77777777" w:rsidR="00DC761E" w:rsidRPr="003C16AF" w:rsidRDefault="00DC761E" w:rsidP="00F11BF7">
      <w:pPr>
        <w:spacing w:line="260" w:lineRule="atLeast"/>
        <w:jc w:val="center"/>
        <w:rPr>
          <w:rFonts w:ascii="Verdana" w:hAnsi="Verdana"/>
          <w:sz w:val="18"/>
          <w:szCs w:val="18"/>
          <w:lang w:val="en-US"/>
        </w:rPr>
      </w:pPr>
    </w:p>
    <w:p w14:paraId="4CDBEF42" w14:textId="77777777" w:rsidR="00DC761E" w:rsidRPr="001D1FB6" w:rsidRDefault="00DC761E" w:rsidP="00F11BF7">
      <w:pPr>
        <w:spacing w:line="260" w:lineRule="atLeast"/>
        <w:jc w:val="center"/>
        <w:rPr>
          <w:rFonts w:ascii="Verdana" w:hAnsi="Verdana"/>
          <w:sz w:val="18"/>
          <w:szCs w:val="18"/>
        </w:rPr>
      </w:pPr>
      <w:r w:rsidRPr="001D1FB6">
        <w:rPr>
          <w:rFonts w:ascii="Verdana" w:hAnsi="Verdana"/>
          <w:sz w:val="18"/>
          <w:szCs w:val="18"/>
        </w:rPr>
        <w:t>IN NAAM VAN DE KONING!</w:t>
      </w:r>
    </w:p>
    <w:p w14:paraId="2C769503" w14:textId="77777777" w:rsidR="00DC761E" w:rsidRPr="001D1FB6" w:rsidRDefault="00DC761E" w:rsidP="00F11BF7">
      <w:pPr>
        <w:spacing w:line="260" w:lineRule="atLeast"/>
        <w:jc w:val="center"/>
        <w:rPr>
          <w:rFonts w:ascii="Verdana" w:hAnsi="Verdana"/>
          <w:sz w:val="18"/>
          <w:szCs w:val="18"/>
        </w:rPr>
      </w:pPr>
    </w:p>
    <w:p w14:paraId="5C3F6C5B" w14:textId="77777777" w:rsidR="00DC761E" w:rsidRPr="001D1FB6" w:rsidRDefault="00DC761E" w:rsidP="00F11BF7">
      <w:pPr>
        <w:spacing w:line="260" w:lineRule="atLeast"/>
        <w:jc w:val="center"/>
        <w:rPr>
          <w:rFonts w:ascii="Verdana" w:hAnsi="Verdana"/>
          <w:sz w:val="18"/>
          <w:szCs w:val="18"/>
        </w:rPr>
      </w:pPr>
      <w:r w:rsidRPr="001D1FB6">
        <w:rPr>
          <w:rFonts w:ascii="Verdana" w:hAnsi="Verdana"/>
          <w:sz w:val="18"/>
          <w:szCs w:val="18"/>
        </w:rPr>
        <w:t xml:space="preserve"> </w:t>
      </w:r>
      <w:r>
        <w:rPr>
          <w:rFonts w:ascii="Verdana" w:hAnsi="Verdana"/>
          <w:sz w:val="18"/>
          <w:szCs w:val="18"/>
        </w:rPr>
        <w:t xml:space="preserve">De Gouverneur </w:t>
      </w:r>
      <w:r w:rsidRPr="001D1FB6">
        <w:rPr>
          <w:rFonts w:ascii="Verdana" w:hAnsi="Verdana"/>
          <w:sz w:val="18"/>
          <w:szCs w:val="18"/>
        </w:rPr>
        <w:t>van Sint Maarten,</w:t>
      </w:r>
    </w:p>
    <w:p w14:paraId="082CB7DA" w14:textId="77777777" w:rsidR="00DC761E" w:rsidRPr="001D1FB6" w:rsidRDefault="00DC761E" w:rsidP="00F11BF7">
      <w:pPr>
        <w:spacing w:line="260" w:lineRule="atLeast"/>
        <w:rPr>
          <w:rFonts w:ascii="Verdana" w:hAnsi="Verdana"/>
          <w:sz w:val="18"/>
          <w:szCs w:val="18"/>
        </w:rPr>
      </w:pPr>
    </w:p>
    <w:p w14:paraId="3695E30A" w14:textId="77777777" w:rsidR="00DC761E" w:rsidRPr="001D1FB6" w:rsidRDefault="00DC761E" w:rsidP="00F11BF7">
      <w:pPr>
        <w:spacing w:line="260" w:lineRule="atLeast"/>
        <w:rPr>
          <w:rFonts w:ascii="Verdana" w:hAnsi="Verdana"/>
          <w:sz w:val="18"/>
          <w:szCs w:val="18"/>
        </w:rPr>
      </w:pPr>
      <w:r w:rsidRPr="001D1FB6">
        <w:rPr>
          <w:rFonts w:ascii="Verdana" w:hAnsi="Verdana"/>
          <w:sz w:val="18"/>
          <w:szCs w:val="18"/>
        </w:rPr>
        <w:tab/>
        <w:t>In overweging genomen hebbende:</w:t>
      </w:r>
    </w:p>
    <w:p w14:paraId="2F33BCFE" w14:textId="77777777" w:rsidR="00DC761E" w:rsidRPr="001D1FB6" w:rsidRDefault="00DC761E" w:rsidP="00F11BF7">
      <w:pPr>
        <w:spacing w:line="260" w:lineRule="atLeast"/>
        <w:rPr>
          <w:rFonts w:ascii="Verdana" w:hAnsi="Verdana"/>
          <w:sz w:val="18"/>
          <w:szCs w:val="18"/>
        </w:rPr>
      </w:pPr>
    </w:p>
    <w:p w14:paraId="6EE62540" w14:textId="570AAA58" w:rsidR="00DC761E" w:rsidRDefault="00632538" w:rsidP="00F11BF7">
      <w:pPr>
        <w:spacing w:line="260" w:lineRule="atLeast"/>
        <w:rPr>
          <w:rFonts w:ascii="Verdana" w:hAnsi="Verdana"/>
          <w:sz w:val="18"/>
          <w:szCs w:val="18"/>
        </w:rPr>
      </w:pPr>
      <w:r>
        <w:rPr>
          <w:rFonts w:ascii="Verdana" w:hAnsi="Verdana"/>
          <w:sz w:val="18"/>
          <w:szCs w:val="18"/>
        </w:rPr>
        <w:t>“</w:t>
      </w:r>
      <w:r w:rsidR="00547444" w:rsidRPr="00547444">
        <w:rPr>
          <w:rFonts w:ascii="Verdana" w:hAnsi="Verdana"/>
          <w:sz w:val="18"/>
          <w:szCs w:val="18"/>
        </w:rPr>
        <w:t>De Europese richtlijn betaalrekeningen (</w:t>
      </w:r>
      <w:hyperlink r:id="rId10" w:tgtFrame="_blank" w:history="1">
        <w:r w:rsidR="00547444" w:rsidRPr="00547444">
          <w:rPr>
            <w:rFonts w:ascii="Verdana" w:hAnsi="Verdana"/>
            <w:sz w:val="18"/>
            <w:szCs w:val="18"/>
          </w:rPr>
          <w:t>Richtlijn 2014/92/EU</w:t>
        </w:r>
      </w:hyperlink>
      <w:r w:rsidR="00547444" w:rsidRPr="00547444">
        <w:rPr>
          <w:rFonts w:ascii="Verdana" w:hAnsi="Verdana"/>
          <w:sz w:val="18"/>
          <w:szCs w:val="18"/>
        </w:rPr>
        <w:t>) heeft ervoor gezorgd dat consumenten in de Europese Unie (EU) het recht hebben om een ‘elementaire’ (lees: basis-) betaalrekening te kunnen openen en te gebruiken</w:t>
      </w:r>
      <w:r>
        <w:rPr>
          <w:rFonts w:ascii="Verdana" w:hAnsi="Verdana"/>
          <w:sz w:val="18"/>
          <w:szCs w:val="18"/>
        </w:rPr>
        <w:t>”;</w:t>
      </w:r>
    </w:p>
    <w:p w14:paraId="0E30054F" w14:textId="77777777" w:rsidR="007D3356" w:rsidRDefault="007D3356" w:rsidP="00F11BF7">
      <w:pPr>
        <w:spacing w:line="260" w:lineRule="atLeast"/>
        <w:rPr>
          <w:rFonts w:ascii="Verdana" w:hAnsi="Verdana"/>
          <w:sz w:val="18"/>
          <w:szCs w:val="18"/>
        </w:rPr>
      </w:pPr>
    </w:p>
    <w:p w14:paraId="1D8AD45B" w14:textId="75A832EE" w:rsidR="004A4FD0" w:rsidRPr="004A4FD0" w:rsidRDefault="004A4FD0" w:rsidP="00F11BF7">
      <w:pPr>
        <w:spacing w:line="260" w:lineRule="atLeast"/>
        <w:rPr>
          <w:rFonts w:ascii="Verdana" w:hAnsi="Verdana"/>
          <w:sz w:val="18"/>
          <w:szCs w:val="18"/>
        </w:rPr>
      </w:pPr>
      <w:r w:rsidRPr="004A4FD0">
        <w:rPr>
          <w:rFonts w:ascii="Verdana" w:hAnsi="Verdana"/>
          <w:sz w:val="18"/>
          <w:szCs w:val="18"/>
        </w:rPr>
        <w:t xml:space="preserve">"Dat cruciaal belang is dat elke burger </w:t>
      </w:r>
      <w:r w:rsidR="007722FF">
        <w:rPr>
          <w:rFonts w:ascii="Verdana" w:hAnsi="Verdana"/>
          <w:sz w:val="18"/>
          <w:szCs w:val="18"/>
        </w:rPr>
        <w:t xml:space="preserve">en rechtspersoon een </w:t>
      </w:r>
      <w:r w:rsidRPr="004A4FD0">
        <w:rPr>
          <w:rFonts w:ascii="Verdana" w:hAnsi="Verdana"/>
          <w:sz w:val="18"/>
          <w:szCs w:val="18"/>
        </w:rPr>
        <w:t>bankrekeni</w:t>
      </w:r>
      <w:r w:rsidR="007722FF">
        <w:rPr>
          <w:rFonts w:ascii="Verdana" w:hAnsi="Verdana"/>
          <w:sz w:val="18"/>
          <w:szCs w:val="18"/>
        </w:rPr>
        <w:t>ng</w:t>
      </w:r>
      <w:r w:rsidRPr="004A4FD0">
        <w:rPr>
          <w:rFonts w:ascii="Verdana" w:hAnsi="Verdana"/>
          <w:sz w:val="18"/>
          <w:szCs w:val="18"/>
        </w:rPr>
        <w:t xml:space="preserve"> heeft om zijn financiële verantwoordelijkheden jegens zijn gemeenschap, bedrij</w:t>
      </w:r>
      <w:r w:rsidR="00DF72CD">
        <w:rPr>
          <w:rFonts w:ascii="Verdana" w:hAnsi="Verdana"/>
          <w:sz w:val="18"/>
          <w:szCs w:val="18"/>
        </w:rPr>
        <w:t>f</w:t>
      </w:r>
      <w:r w:rsidRPr="004A4FD0">
        <w:rPr>
          <w:rFonts w:ascii="Verdana" w:hAnsi="Verdana"/>
          <w:sz w:val="18"/>
          <w:szCs w:val="18"/>
        </w:rPr>
        <w:t xml:space="preserve"> en de overheid te beheren"</w:t>
      </w:r>
    </w:p>
    <w:p w14:paraId="720167DE" w14:textId="77777777" w:rsidR="004A4FD0" w:rsidRPr="004A4FD0" w:rsidRDefault="004A4FD0" w:rsidP="00F11BF7">
      <w:pPr>
        <w:spacing w:line="260" w:lineRule="atLeast"/>
        <w:rPr>
          <w:rFonts w:ascii="Verdana" w:hAnsi="Verdana"/>
          <w:sz w:val="18"/>
          <w:szCs w:val="18"/>
        </w:rPr>
      </w:pPr>
    </w:p>
    <w:p w14:paraId="49E64607" w14:textId="4CBB4BEB" w:rsidR="004A4FD0" w:rsidRPr="004A4FD0" w:rsidRDefault="00DF72CD" w:rsidP="00F11BF7">
      <w:pPr>
        <w:spacing w:line="260" w:lineRule="atLeast"/>
        <w:rPr>
          <w:rFonts w:ascii="Verdana" w:hAnsi="Verdana"/>
          <w:sz w:val="18"/>
          <w:szCs w:val="18"/>
        </w:rPr>
      </w:pPr>
      <w:r>
        <w:rPr>
          <w:rFonts w:ascii="Verdana" w:hAnsi="Verdana"/>
          <w:sz w:val="18"/>
          <w:szCs w:val="18"/>
        </w:rPr>
        <w:t>“</w:t>
      </w:r>
      <w:r w:rsidR="004A4FD0" w:rsidRPr="004A4FD0">
        <w:rPr>
          <w:rFonts w:ascii="Verdana" w:hAnsi="Verdana"/>
          <w:sz w:val="18"/>
          <w:szCs w:val="18"/>
        </w:rPr>
        <w:t>Dat de huidige regelgeving onvoldoende waarborgen biedt voor burgers om basisrechten te hebben, om hun vermogen om financiële activiteiten te ontplooien te beschermen, noch om dit als een fundamenteel recht binnen onze juridische structuur te creëren</w:t>
      </w:r>
      <w:r>
        <w:rPr>
          <w:rFonts w:ascii="Verdana" w:hAnsi="Verdana"/>
          <w:sz w:val="18"/>
          <w:szCs w:val="18"/>
        </w:rPr>
        <w:t>”</w:t>
      </w:r>
    </w:p>
    <w:p w14:paraId="1E5ADC2F" w14:textId="77777777" w:rsidR="00DC761E" w:rsidRPr="004A4FD0" w:rsidRDefault="00DC761E" w:rsidP="00F11BF7">
      <w:pPr>
        <w:spacing w:line="260" w:lineRule="atLeast"/>
        <w:rPr>
          <w:rFonts w:ascii="Verdana" w:hAnsi="Verdana"/>
          <w:sz w:val="18"/>
          <w:szCs w:val="18"/>
        </w:rPr>
      </w:pPr>
    </w:p>
    <w:p w14:paraId="1EBDB5A4" w14:textId="77777777" w:rsidR="00DC761E" w:rsidRPr="004A4FD0" w:rsidRDefault="00DC761E" w:rsidP="00F11BF7">
      <w:pPr>
        <w:spacing w:line="260" w:lineRule="atLeast"/>
        <w:rPr>
          <w:rFonts w:ascii="Verdana" w:hAnsi="Verdana"/>
          <w:sz w:val="18"/>
          <w:szCs w:val="18"/>
        </w:rPr>
      </w:pPr>
    </w:p>
    <w:p w14:paraId="6EEE21C0" w14:textId="77777777" w:rsidR="00DC761E" w:rsidRPr="001D1FB6" w:rsidRDefault="00DC761E" w:rsidP="00F11BF7">
      <w:pPr>
        <w:spacing w:line="260" w:lineRule="atLeast"/>
        <w:rPr>
          <w:rFonts w:ascii="Verdana" w:hAnsi="Verdana"/>
          <w:sz w:val="18"/>
          <w:szCs w:val="18"/>
        </w:rPr>
      </w:pPr>
      <w:r w:rsidRPr="004A4FD0">
        <w:rPr>
          <w:rFonts w:ascii="Verdana" w:hAnsi="Verdana"/>
          <w:sz w:val="18"/>
          <w:szCs w:val="18"/>
        </w:rPr>
        <w:tab/>
      </w:r>
      <w:r w:rsidRPr="001D1FB6">
        <w:rPr>
          <w:rFonts w:ascii="Verdana" w:hAnsi="Verdana"/>
          <w:sz w:val="18"/>
          <w:szCs w:val="18"/>
        </w:rPr>
        <w:t xml:space="preserve">Heeft, de Raad van Advies gehoord, </w:t>
      </w:r>
      <w:r w:rsidRPr="00305D69">
        <w:rPr>
          <w:rFonts w:ascii="Verdana" w:hAnsi="Verdana"/>
          <w:sz w:val="18"/>
          <w:szCs w:val="18"/>
        </w:rPr>
        <w:t>op initiatief vanuit de Staten</w:t>
      </w:r>
      <w:r w:rsidRPr="001D1FB6">
        <w:rPr>
          <w:rFonts w:ascii="Verdana" w:hAnsi="Verdana"/>
          <w:sz w:val="18"/>
          <w:szCs w:val="18"/>
        </w:rPr>
        <w:t>, vastgesteld de onderstaande landsverordening:</w:t>
      </w:r>
    </w:p>
    <w:p w14:paraId="4091C666" w14:textId="77777777" w:rsidR="00DC761E" w:rsidRPr="001D1FB6" w:rsidRDefault="00DC761E" w:rsidP="00F11BF7">
      <w:pPr>
        <w:spacing w:line="260" w:lineRule="atLeast"/>
        <w:jc w:val="both"/>
        <w:rPr>
          <w:rFonts w:ascii="Verdana" w:hAnsi="Verdana"/>
          <w:sz w:val="18"/>
          <w:szCs w:val="18"/>
        </w:rPr>
      </w:pPr>
    </w:p>
    <w:p w14:paraId="33751671" w14:textId="77777777" w:rsidR="00DC761E" w:rsidRDefault="00DC761E" w:rsidP="00F11BF7">
      <w:pPr>
        <w:spacing w:line="260" w:lineRule="atLeast"/>
        <w:jc w:val="center"/>
        <w:rPr>
          <w:rFonts w:ascii="Verdana" w:hAnsi="Verdana"/>
          <w:b/>
          <w:sz w:val="18"/>
          <w:szCs w:val="18"/>
        </w:rPr>
      </w:pPr>
      <w:r w:rsidRPr="001D1FB6">
        <w:rPr>
          <w:rFonts w:ascii="Verdana" w:hAnsi="Verdana"/>
          <w:b/>
          <w:sz w:val="18"/>
          <w:szCs w:val="18"/>
        </w:rPr>
        <w:t xml:space="preserve">Artikel </w:t>
      </w:r>
      <w:r>
        <w:rPr>
          <w:rFonts w:ascii="Verdana" w:hAnsi="Verdana"/>
          <w:b/>
          <w:sz w:val="18"/>
          <w:szCs w:val="18"/>
        </w:rPr>
        <w:t>I</w:t>
      </w:r>
      <w:r w:rsidR="007D3356">
        <w:rPr>
          <w:rFonts w:ascii="Verdana" w:hAnsi="Verdana"/>
          <w:b/>
          <w:sz w:val="18"/>
          <w:szCs w:val="18"/>
        </w:rPr>
        <w:t>: Definities</w:t>
      </w:r>
    </w:p>
    <w:p w14:paraId="1ECD3907" w14:textId="5CDB6427" w:rsidR="00587934" w:rsidRDefault="00587934" w:rsidP="00F11BF7">
      <w:pPr>
        <w:spacing w:line="260" w:lineRule="atLeast"/>
        <w:rPr>
          <w:rFonts w:ascii="Verdana" w:hAnsi="Verdana"/>
          <w:b/>
          <w:sz w:val="18"/>
          <w:szCs w:val="18"/>
        </w:rPr>
      </w:pPr>
    </w:p>
    <w:tbl>
      <w:tblPr>
        <w:tblStyle w:val="PlainTable1"/>
        <w:tblW w:w="0" w:type="auto"/>
        <w:tblLook w:val="04A0" w:firstRow="1" w:lastRow="0" w:firstColumn="1" w:lastColumn="0" w:noHBand="0" w:noVBand="1"/>
      </w:tblPr>
      <w:tblGrid>
        <w:gridCol w:w="2017"/>
        <w:gridCol w:w="298"/>
        <w:gridCol w:w="4535"/>
      </w:tblGrid>
      <w:tr w:rsidR="004D7742" w14:paraId="7E70D400" w14:textId="77777777" w:rsidTr="00A55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Align w:val="center"/>
          </w:tcPr>
          <w:p w14:paraId="121B1EB0" w14:textId="7647E5F8" w:rsidR="004D7742" w:rsidRPr="00632538" w:rsidRDefault="004D7742" w:rsidP="00F11BF7">
            <w:pPr>
              <w:spacing w:line="260" w:lineRule="atLeast"/>
              <w:rPr>
                <w:rFonts w:ascii="Verdana" w:hAnsi="Verdana"/>
                <w:b w:val="0"/>
                <w:bCs w:val="0"/>
                <w:sz w:val="18"/>
                <w:szCs w:val="18"/>
              </w:rPr>
            </w:pPr>
            <w:r w:rsidRPr="00632538">
              <w:rPr>
                <w:rFonts w:ascii="Verdana" w:hAnsi="Verdana"/>
                <w:b w:val="0"/>
                <w:bCs w:val="0"/>
                <w:sz w:val="18"/>
                <w:szCs w:val="18"/>
              </w:rPr>
              <w:t>Aanvrager</w:t>
            </w:r>
          </w:p>
        </w:tc>
        <w:tc>
          <w:tcPr>
            <w:tcW w:w="246" w:type="dxa"/>
            <w:vAlign w:val="center"/>
          </w:tcPr>
          <w:p w14:paraId="3574F093" w14:textId="3F4E4318" w:rsidR="004D7742" w:rsidRPr="00A55758" w:rsidRDefault="004D7742" w:rsidP="00F11BF7">
            <w:pPr>
              <w:spacing w:line="260" w:lineRule="atLeast"/>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18"/>
                <w:szCs w:val="18"/>
              </w:rPr>
            </w:pPr>
            <w:r>
              <w:rPr>
                <w:rFonts w:ascii="Verdana" w:hAnsi="Verdana"/>
                <w:b w:val="0"/>
                <w:bCs w:val="0"/>
                <w:sz w:val="18"/>
                <w:szCs w:val="18"/>
              </w:rPr>
              <w:t>:</w:t>
            </w:r>
          </w:p>
        </w:tc>
        <w:tc>
          <w:tcPr>
            <w:tcW w:w="4587" w:type="dxa"/>
            <w:vAlign w:val="center"/>
          </w:tcPr>
          <w:p w14:paraId="623DF870" w14:textId="5227E219" w:rsidR="004D7742" w:rsidRPr="00A55758" w:rsidRDefault="004D7742" w:rsidP="00F11BF7">
            <w:pPr>
              <w:spacing w:line="260" w:lineRule="atLeast"/>
              <w:cnfStyle w:val="100000000000" w:firstRow="1" w:lastRow="0" w:firstColumn="0" w:lastColumn="0" w:oddVBand="0" w:evenVBand="0" w:oddHBand="0" w:evenHBand="0" w:firstRowFirstColumn="0" w:firstRowLastColumn="0" w:lastRowFirstColumn="0" w:lastRowLastColumn="0"/>
              <w:rPr>
                <w:rFonts w:ascii="Verdana" w:hAnsi="Verdana"/>
                <w:b w:val="0"/>
                <w:bCs w:val="0"/>
                <w:sz w:val="18"/>
                <w:szCs w:val="18"/>
              </w:rPr>
            </w:pPr>
            <w:r>
              <w:rPr>
                <w:rFonts w:ascii="Verdana" w:hAnsi="Verdana"/>
                <w:b w:val="0"/>
                <w:bCs w:val="0"/>
                <w:sz w:val="18"/>
                <w:szCs w:val="18"/>
              </w:rPr>
              <w:t>Natuurlijk</w:t>
            </w:r>
            <w:r w:rsidR="004A6343">
              <w:rPr>
                <w:rFonts w:ascii="Verdana" w:hAnsi="Verdana"/>
                <w:b w:val="0"/>
                <w:bCs w:val="0"/>
                <w:sz w:val="18"/>
                <w:szCs w:val="18"/>
              </w:rPr>
              <w:t xml:space="preserve"> persoon of recht</w:t>
            </w:r>
            <w:r w:rsidR="00E07487">
              <w:rPr>
                <w:rFonts w:ascii="Verdana" w:hAnsi="Verdana"/>
                <w:b w:val="0"/>
                <w:bCs w:val="0"/>
                <w:sz w:val="18"/>
                <w:szCs w:val="18"/>
              </w:rPr>
              <w:t>s</w:t>
            </w:r>
            <w:r w:rsidR="004A6343">
              <w:rPr>
                <w:rFonts w:ascii="Verdana" w:hAnsi="Verdana"/>
                <w:b w:val="0"/>
                <w:bCs w:val="0"/>
                <w:sz w:val="18"/>
                <w:szCs w:val="18"/>
              </w:rPr>
              <w:t xml:space="preserve">persoon die </w:t>
            </w:r>
            <w:r w:rsidR="00CD556C" w:rsidRPr="00CD556C">
              <w:rPr>
                <w:rFonts w:ascii="Verdana" w:hAnsi="Verdana"/>
                <w:b w:val="0"/>
                <w:bCs w:val="0"/>
                <w:sz w:val="18"/>
                <w:szCs w:val="18"/>
              </w:rPr>
              <w:t xml:space="preserve">geregistreerd in st maarten </w:t>
            </w:r>
            <w:r w:rsidR="00781EB8">
              <w:rPr>
                <w:rFonts w:ascii="Verdana" w:hAnsi="Verdana"/>
                <w:b w:val="0"/>
                <w:bCs w:val="0"/>
                <w:sz w:val="18"/>
                <w:szCs w:val="18"/>
              </w:rPr>
              <w:t xml:space="preserve">is </w:t>
            </w:r>
            <w:r w:rsidR="00CD556C" w:rsidRPr="00CD556C">
              <w:rPr>
                <w:rFonts w:ascii="Verdana" w:hAnsi="Verdana"/>
                <w:b w:val="0"/>
                <w:bCs w:val="0"/>
                <w:sz w:val="18"/>
                <w:szCs w:val="18"/>
              </w:rPr>
              <w:t>die diensten of producten heeft aangevraagd bij een bank</w:t>
            </w:r>
          </w:p>
        </w:tc>
      </w:tr>
      <w:tr w:rsidR="008C555C" w14:paraId="15F62BC2" w14:textId="77777777" w:rsidTr="00A55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Align w:val="center"/>
          </w:tcPr>
          <w:p w14:paraId="59DFECBF" w14:textId="006A8BA4" w:rsidR="001C18B7" w:rsidRPr="00632538" w:rsidRDefault="007D733A" w:rsidP="00F11BF7">
            <w:pPr>
              <w:spacing w:line="260" w:lineRule="atLeast"/>
              <w:rPr>
                <w:rFonts w:ascii="Verdana" w:hAnsi="Verdana"/>
                <w:b w:val="0"/>
                <w:bCs w:val="0"/>
                <w:sz w:val="18"/>
                <w:szCs w:val="18"/>
              </w:rPr>
            </w:pPr>
            <w:r w:rsidRPr="00632538">
              <w:rPr>
                <w:rFonts w:ascii="Verdana" w:hAnsi="Verdana"/>
                <w:b w:val="0"/>
                <w:bCs w:val="0"/>
                <w:sz w:val="18"/>
                <w:szCs w:val="18"/>
              </w:rPr>
              <w:t>Contractuele bancaire relatie:</w:t>
            </w:r>
          </w:p>
        </w:tc>
        <w:tc>
          <w:tcPr>
            <w:tcW w:w="246" w:type="dxa"/>
            <w:vAlign w:val="center"/>
          </w:tcPr>
          <w:p w14:paraId="7E8A30E0" w14:textId="2731ADC8" w:rsidR="001C18B7" w:rsidRPr="00565F8A" w:rsidRDefault="007D733A" w:rsidP="00F11BF7">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65F8A">
              <w:rPr>
                <w:rFonts w:ascii="Verdana" w:hAnsi="Verdana"/>
                <w:sz w:val="18"/>
                <w:szCs w:val="18"/>
              </w:rPr>
              <w:t>:</w:t>
            </w:r>
          </w:p>
        </w:tc>
        <w:tc>
          <w:tcPr>
            <w:tcW w:w="4587" w:type="dxa"/>
            <w:vAlign w:val="center"/>
          </w:tcPr>
          <w:p w14:paraId="16820B3F" w14:textId="0CA67489" w:rsidR="001C18B7" w:rsidRPr="00565F8A" w:rsidRDefault="007D733A" w:rsidP="00F11BF7">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565F8A">
              <w:rPr>
                <w:rFonts w:ascii="Verdana" w:hAnsi="Verdana"/>
                <w:sz w:val="18"/>
                <w:szCs w:val="18"/>
              </w:rPr>
              <w:t>een contractueel overeengekomen relatie tussen een consument en een bank voor het verlenen van diensten of producten van de bank.</w:t>
            </w:r>
          </w:p>
        </w:tc>
      </w:tr>
      <w:tr w:rsidR="004D7742" w14:paraId="046A0EFA" w14:textId="77777777" w:rsidTr="00A55758">
        <w:tc>
          <w:tcPr>
            <w:cnfStyle w:val="001000000000" w:firstRow="0" w:lastRow="0" w:firstColumn="1" w:lastColumn="0" w:oddVBand="0" w:evenVBand="0" w:oddHBand="0" w:evenHBand="0" w:firstRowFirstColumn="0" w:firstRowLastColumn="0" w:lastRowFirstColumn="0" w:lastRowLastColumn="0"/>
            <w:tcW w:w="2017" w:type="dxa"/>
            <w:vAlign w:val="center"/>
          </w:tcPr>
          <w:p w14:paraId="3615BC67" w14:textId="334D57A6" w:rsidR="007D733A" w:rsidRPr="00632538" w:rsidRDefault="007D733A" w:rsidP="00F11BF7">
            <w:pPr>
              <w:spacing w:line="260" w:lineRule="atLeast"/>
              <w:rPr>
                <w:rFonts w:ascii="Verdana" w:hAnsi="Verdana"/>
                <w:b w:val="0"/>
                <w:bCs w:val="0"/>
                <w:sz w:val="18"/>
                <w:szCs w:val="18"/>
              </w:rPr>
            </w:pPr>
            <w:r w:rsidRPr="00632538">
              <w:rPr>
                <w:rFonts w:ascii="Verdana" w:hAnsi="Verdana"/>
                <w:b w:val="0"/>
                <w:bCs w:val="0"/>
                <w:sz w:val="18"/>
                <w:szCs w:val="18"/>
              </w:rPr>
              <w:t>Bank</w:t>
            </w:r>
          </w:p>
        </w:tc>
        <w:tc>
          <w:tcPr>
            <w:tcW w:w="246" w:type="dxa"/>
            <w:vAlign w:val="center"/>
          </w:tcPr>
          <w:p w14:paraId="7AE99302" w14:textId="39284110" w:rsidR="007D733A" w:rsidRPr="00A55758" w:rsidRDefault="007D733A" w:rsidP="00F11BF7">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55758">
              <w:rPr>
                <w:rFonts w:ascii="Verdana" w:hAnsi="Verdana"/>
                <w:sz w:val="18"/>
                <w:szCs w:val="18"/>
              </w:rPr>
              <w:t>:</w:t>
            </w:r>
          </w:p>
        </w:tc>
        <w:tc>
          <w:tcPr>
            <w:tcW w:w="4587" w:type="dxa"/>
            <w:vAlign w:val="center"/>
          </w:tcPr>
          <w:p w14:paraId="6DB99A87" w14:textId="4DAE8FD9" w:rsidR="007D733A" w:rsidRPr="00A55758" w:rsidRDefault="007D733A" w:rsidP="00F11BF7">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55758">
              <w:rPr>
                <w:rFonts w:ascii="Verdana" w:hAnsi="Verdana"/>
                <w:sz w:val="18"/>
                <w:szCs w:val="18"/>
              </w:rPr>
              <w:t xml:space="preserve">een kredietinstelling als bedoeld in artikel 1 van de Landsverordening houdende regels </w:t>
            </w:r>
            <w:r w:rsidRPr="00A55758">
              <w:rPr>
                <w:rFonts w:ascii="Verdana" w:hAnsi="Verdana"/>
                <w:sz w:val="18"/>
                <w:szCs w:val="18"/>
              </w:rPr>
              <w:lastRenderedPageBreak/>
              <w:t>inzake het toezicht op het bank- en kredietwezen, niet zijnde een kredietunie met zetel in St. Maarten, met dien verstande dat, tenzij anders bepaald, met een bank wordt gelijkgesteld de houder van een vergunning als bedoeld in artikel 2, lid 2 van Landsverordening houdende regels inzake het toezicht op het bank- en kredietwezen</w:t>
            </w:r>
          </w:p>
        </w:tc>
      </w:tr>
      <w:tr w:rsidR="00F11BF7" w14:paraId="44B5DE88" w14:textId="77777777" w:rsidTr="00A55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Align w:val="center"/>
          </w:tcPr>
          <w:p w14:paraId="3015C701" w14:textId="43852BDB" w:rsidR="007D733A" w:rsidRPr="00632538" w:rsidRDefault="007D5E9B" w:rsidP="00F11BF7">
            <w:pPr>
              <w:spacing w:line="260" w:lineRule="atLeast"/>
              <w:rPr>
                <w:rFonts w:ascii="Verdana" w:hAnsi="Verdana"/>
                <w:b w:val="0"/>
                <w:bCs w:val="0"/>
                <w:sz w:val="18"/>
                <w:szCs w:val="18"/>
              </w:rPr>
            </w:pPr>
            <w:r w:rsidRPr="00632538">
              <w:rPr>
                <w:rFonts w:ascii="Verdana" w:hAnsi="Verdana"/>
                <w:b w:val="0"/>
                <w:bCs w:val="0"/>
                <w:sz w:val="18"/>
                <w:szCs w:val="18"/>
              </w:rPr>
              <w:lastRenderedPageBreak/>
              <w:t>basisbetaalrekening</w:t>
            </w:r>
          </w:p>
        </w:tc>
        <w:tc>
          <w:tcPr>
            <w:tcW w:w="246" w:type="dxa"/>
            <w:vAlign w:val="center"/>
          </w:tcPr>
          <w:p w14:paraId="4E803147" w14:textId="79210148" w:rsidR="007D733A" w:rsidRPr="00A55758" w:rsidRDefault="007D5E9B" w:rsidP="00F11BF7">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55758">
              <w:rPr>
                <w:rFonts w:ascii="Verdana" w:hAnsi="Verdana"/>
                <w:sz w:val="18"/>
                <w:szCs w:val="18"/>
              </w:rPr>
              <w:t>:</w:t>
            </w:r>
          </w:p>
        </w:tc>
        <w:tc>
          <w:tcPr>
            <w:tcW w:w="4587" w:type="dxa"/>
            <w:vAlign w:val="center"/>
          </w:tcPr>
          <w:p w14:paraId="26EF4850" w14:textId="770AEC87" w:rsidR="007D733A" w:rsidRPr="00A55758" w:rsidRDefault="007D5E9B" w:rsidP="00F11BF7">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55758">
              <w:rPr>
                <w:rFonts w:ascii="Verdana" w:hAnsi="Verdana"/>
                <w:sz w:val="18"/>
                <w:szCs w:val="18"/>
              </w:rPr>
              <w:t>een betaalrekening, met inbegrip van bijbehorende betaalinstrumenten, waarbij debetstand niet mogelijk is</w:t>
            </w:r>
          </w:p>
        </w:tc>
      </w:tr>
      <w:tr w:rsidR="004D7742" w14:paraId="6E939092" w14:textId="77777777" w:rsidTr="00A55758">
        <w:tc>
          <w:tcPr>
            <w:cnfStyle w:val="001000000000" w:firstRow="0" w:lastRow="0" w:firstColumn="1" w:lastColumn="0" w:oddVBand="0" w:evenVBand="0" w:oddHBand="0" w:evenHBand="0" w:firstRowFirstColumn="0" w:firstRowLastColumn="0" w:lastRowFirstColumn="0" w:lastRowLastColumn="0"/>
            <w:tcW w:w="2017" w:type="dxa"/>
            <w:vAlign w:val="center"/>
          </w:tcPr>
          <w:p w14:paraId="3B6CEAE2" w14:textId="104A46B9" w:rsidR="007D733A" w:rsidRPr="00632538" w:rsidRDefault="00D52AA6" w:rsidP="00F11BF7">
            <w:pPr>
              <w:spacing w:line="260" w:lineRule="atLeast"/>
              <w:rPr>
                <w:rFonts w:ascii="Verdana" w:hAnsi="Verdana"/>
                <w:b w:val="0"/>
                <w:bCs w:val="0"/>
                <w:sz w:val="18"/>
                <w:szCs w:val="18"/>
              </w:rPr>
            </w:pPr>
            <w:r>
              <w:rPr>
                <w:rFonts w:ascii="Verdana" w:hAnsi="Verdana"/>
                <w:b w:val="0"/>
                <w:bCs w:val="0"/>
                <w:sz w:val="18"/>
                <w:szCs w:val="18"/>
              </w:rPr>
              <w:t>Bureau</w:t>
            </w:r>
          </w:p>
        </w:tc>
        <w:tc>
          <w:tcPr>
            <w:tcW w:w="246" w:type="dxa"/>
            <w:vAlign w:val="center"/>
          </w:tcPr>
          <w:p w14:paraId="5C7BAD47" w14:textId="62C9EB53" w:rsidR="007D733A" w:rsidRPr="00A55758" w:rsidRDefault="008C555C" w:rsidP="00F11BF7">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55758">
              <w:rPr>
                <w:rFonts w:ascii="Verdana" w:hAnsi="Verdana"/>
                <w:sz w:val="18"/>
                <w:szCs w:val="18"/>
              </w:rPr>
              <w:t>:</w:t>
            </w:r>
          </w:p>
        </w:tc>
        <w:tc>
          <w:tcPr>
            <w:tcW w:w="4587" w:type="dxa"/>
            <w:vAlign w:val="center"/>
          </w:tcPr>
          <w:p w14:paraId="0FB35A15" w14:textId="7BF16763" w:rsidR="007D733A" w:rsidRPr="00A55758" w:rsidRDefault="007D5E9B" w:rsidP="00F11BF7">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55758">
              <w:rPr>
                <w:rFonts w:ascii="Verdana" w:hAnsi="Verdana"/>
                <w:sz w:val="18"/>
                <w:szCs w:val="18"/>
              </w:rPr>
              <w:t>op naam van een of meer betaaldienstgebruikers aangehouden rekening die voor de uitvoering van betalingstransacties wordt gebruikt, als bedoeld in artikel 4 van de richtlijn betaaldiensten</w:t>
            </w:r>
          </w:p>
        </w:tc>
      </w:tr>
      <w:tr w:rsidR="00F11BF7" w14:paraId="04567DEB" w14:textId="77777777" w:rsidTr="00A55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Align w:val="center"/>
          </w:tcPr>
          <w:p w14:paraId="0EC49092" w14:textId="2AD4ED52" w:rsidR="007D733A" w:rsidRPr="00632538" w:rsidRDefault="008C555C" w:rsidP="00F11BF7">
            <w:pPr>
              <w:spacing w:line="260" w:lineRule="atLeast"/>
              <w:rPr>
                <w:rFonts w:ascii="Verdana" w:hAnsi="Verdana"/>
                <w:b w:val="0"/>
                <w:bCs w:val="0"/>
                <w:i/>
                <w:iCs/>
                <w:sz w:val="18"/>
                <w:szCs w:val="18"/>
              </w:rPr>
            </w:pPr>
            <w:r w:rsidRPr="00632538">
              <w:rPr>
                <w:rStyle w:val="Emphasis"/>
                <w:rFonts w:ascii="Verdana" w:hAnsi="Verdana" w:cs="Arial"/>
                <w:b w:val="0"/>
                <w:bCs w:val="0"/>
                <w:i w:val="0"/>
                <w:iCs w:val="0"/>
                <w:color w:val="333333"/>
                <w:sz w:val="18"/>
                <w:szCs w:val="18"/>
                <w:shd w:val="clear" w:color="auto" w:fill="FFFFFF"/>
              </w:rPr>
              <w:t>consument</w:t>
            </w:r>
          </w:p>
        </w:tc>
        <w:tc>
          <w:tcPr>
            <w:tcW w:w="246" w:type="dxa"/>
            <w:vAlign w:val="center"/>
          </w:tcPr>
          <w:p w14:paraId="25EAF560" w14:textId="0F02515B" w:rsidR="007D733A" w:rsidRPr="00A55758" w:rsidRDefault="00DD03DE" w:rsidP="00F11BF7">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55758">
              <w:rPr>
                <w:rFonts w:ascii="Verdana" w:hAnsi="Verdana"/>
                <w:sz w:val="18"/>
                <w:szCs w:val="18"/>
              </w:rPr>
              <w:t>:</w:t>
            </w:r>
          </w:p>
        </w:tc>
        <w:tc>
          <w:tcPr>
            <w:tcW w:w="4587" w:type="dxa"/>
            <w:vAlign w:val="center"/>
          </w:tcPr>
          <w:p w14:paraId="41D43087" w14:textId="22533051" w:rsidR="007D733A" w:rsidRPr="00A55758" w:rsidRDefault="008C555C" w:rsidP="00F11BF7">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55758">
              <w:rPr>
                <w:rFonts w:ascii="Verdana" w:hAnsi="Verdana" w:cs="Arial"/>
                <w:color w:val="333333"/>
                <w:sz w:val="18"/>
                <w:szCs w:val="18"/>
                <w:shd w:val="clear" w:color="auto" w:fill="FFFFFF"/>
              </w:rPr>
              <w:t xml:space="preserve">een natuurlijke </w:t>
            </w:r>
            <w:r w:rsidR="00416A1C" w:rsidRPr="00A55758">
              <w:rPr>
                <w:rFonts w:ascii="Verdana" w:hAnsi="Verdana" w:cs="Arial"/>
                <w:color w:val="333333"/>
                <w:sz w:val="18"/>
                <w:szCs w:val="18"/>
                <w:shd w:val="clear" w:color="auto" w:fill="FFFFFF"/>
              </w:rPr>
              <w:t>of recht</w:t>
            </w:r>
            <w:r w:rsidRPr="00A55758">
              <w:rPr>
                <w:rFonts w:ascii="Verdana" w:hAnsi="Verdana" w:cs="Arial"/>
                <w:color w:val="333333"/>
                <w:sz w:val="18"/>
                <w:szCs w:val="18"/>
                <w:shd w:val="clear" w:color="auto" w:fill="FFFFFF"/>
              </w:rPr>
              <w:t xml:space="preserve">persoon aan wie een </w:t>
            </w:r>
            <w:r w:rsidR="009C4379">
              <w:rPr>
                <w:rFonts w:ascii="Verdana" w:hAnsi="Verdana" w:cs="Arial"/>
                <w:color w:val="333333"/>
                <w:sz w:val="18"/>
                <w:szCs w:val="18"/>
                <w:shd w:val="clear" w:color="auto" w:fill="FFFFFF"/>
              </w:rPr>
              <w:t>bank</w:t>
            </w:r>
            <w:r w:rsidRPr="00A55758">
              <w:rPr>
                <w:rFonts w:ascii="Verdana" w:hAnsi="Verdana" w:cs="Arial"/>
                <w:color w:val="333333"/>
                <w:sz w:val="18"/>
                <w:szCs w:val="18"/>
                <w:shd w:val="clear" w:color="auto" w:fill="FFFFFF"/>
              </w:rPr>
              <w:t xml:space="preserve"> een financiële dienst verleent</w:t>
            </w:r>
          </w:p>
        </w:tc>
      </w:tr>
      <w:tr w:rsidR="004D7742" w14:paraId="22E5D3E1" w14:textId="77777777" w:rsidTr="00A55758">
        <w:tc>
          <w:tcPr>
            <w:cnfStyle w:val="001000000000" w:firstRow="0" w:lastRow="0" w:firstColumn="1" w:lastColumn="0" w:oddVBand="0" w:evenVBand="0" w:oddHBand="0" w:evenHBand="0" w:firstRowFirstColumn="0" w:firstRowLastColumn="0" w:lastRowFirstColumn="0" w:lastRowLastColumn="0"/>
            <w:tcW w:w="2017" w:type="dxa"/>
            <w:vAlign w:val="center"/>
          </w:tcPr>
          <w:p w14:paraId="4F3F7BE3" w14:textId="6AE48BCD" w:rsidR="007D733A" w:rsidRPr="00632538" w:rsidRDefault="00632538" w:rsidP="00F11BF7">
            <w:pPr>
              <w:spacing w:line="260" w:lineRule="atLeast"/>
              <w:rPr>
                <w:rFonts w:ascii="Verdana" w:hAnsi="Verdana"/>
                <w:b w:val="0"/>
                <w:bCs w:val="0"/>
                <w:sz w:val="18"/>
                <w:szCs w:val="18"/>
              </w:rPr>
            </w:pPr>
            <w:r w:rsidRPr="00632538">
              <w:rPr>
                <w:rFonts w:ascii="Verdana" w:hAnsi="Verdana"/>
                <w:b w:val="0"/>
                <w:bCs w:val="0"/>
                <w:sz w:val="18"/>
                <w:szCs w:val="18"/>
              </w:rPr>
              <w:t>Krediet</w:t>
            </w:r>
          </w:p>
        </w:tc>
        <w:tc>
          <w:tcPr>
            <w:tcW w:w="246" w:type="dxa"/>
            <w:vAlign w:val="center"/>
          </w:tcPr>
          <w:p w14:paraId="5180A415" w14:textId="66F7D212" w:rsidR="007D733A" w:rsidRPr="00A55758" w:rsidRDefault="00DD03DE" w:rsidP="00F11BF7">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55758">
              <w:rPr>
                <w:rFonts w:ascii="Verdana" w:hAnsi="Verdana"/>
                <w:sz w:val="18"/>
                <w:szCs w:val="18"/>
              </w:rPr>
              <w:t>:</w:t>
            </w:r>
          </w:p>
        </w:tc>
        <w:tc>
          <w:tcPr>
            <w:tcW w:w="4587" w:type="dxa"/>
            <w:vAlign w:val="center"/>
          </w:tcPr>
          <w:p w14:paraId="26B3DEE3" w14:textId="77777777" w:rsidR="008C555C" w:rsidRPr="00A55758" w:rsidRDefault="008C555C" w:rsidP="00F11BF7">
            <w:pPr>
              <w:pStyle w:val="al"/>
              <w:shd w:val="clear" w:color="auto" w:fill="FFFFFF"/>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sz w:val="18"/>
                <w:szCs w:val="18"/>
                <w:lang w:val="nl-NL" w:eastAsia="nl-NL"/>
              </w:rPr>
            </w:pPr>
            <w:r w:rsidRPr="00A55758">
              <w:rPr>
                <w:rFonts w:ascii="Verdana" w:hAnsi="Verdana"/>
                <w:sz w:val="18"/>
                <w:szCs w:val="18"/>
                <w:lang w:val="nl-NL" w:eastAsia="nl-NL"/>
              </w:rPr>
              <w:t>a. het aan een consument ter beschikking stellen van een geldsom, ter zake waarvan de consument gehouden is een of meer betalingen te verrichten;</w:t>
            </w:r>
          </w:p>
          <w:p w14:paraId="4F2393B1" w14:textId="5D7A6D99" w:rsidR="007D733A" w:rsidRPr="00A55758" w:rsidRDefault="008C555C" w:rsidP="00F11BF7">
            <w:pPr>
              <w:spacing w:line="260" w:lineRule="atLeast"/>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55758">
              <w:rPr>
                <w:rFonts w:ascii="Verdana" w:hAnsi="Verdana"/>
                <w:sz w:val="18"/>
                <w:szCs w:val="18"/>
              </w:rPr>
              <w:t>b. het aan een consument verlenen van een dienst of verschaffen van het genot van een roerende zaak, financieel instrument of beleggingsobject, dan wel het aan een consument of een derde ter beschikking stellen van een geldsom ter zake van het aan die consument verlenen van een dienst of verschaffen van het genot van een roerende zaak, financieel instrument of beleggingsobject, ter zake waarvan de consument gehouden is een of meer betalingen te verrichten, met uitzondering van doorlopende dienstverlening en doorlopende levering van dezelfde soort roerende zaken, financieel instrumenten of beleggingsobjecten, waarbij de consument gehouden is in termijnen te betalen zolang de doorlopende dienstverlening of doorlopende levering plaatsvindt</w:t>
            </w:r>
          </w:p>
        </w:tc>
      </w:tr>
      <w:tr w:rsidR="00F11BF7" w14:paraId="4DA6745C" w14:textId="77777777" w:rsidTr="00A55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dxa"/>
            <w:vAlign w:val="center"/>
          </w:tcPr>
          <w:p w14:paraId="4E5A63D1" w14:textId="5DB057AE" w:rsidR="007D733A" w:rsidRPr="00632538" w:rsidRDefault="00632538" w:rsidP="00F11BF7">
            <w:pPr>
              <w:spacing w:line="260" w:lineRule="atLeast"/>
              <w:rPr>
                <w:rFonts w:ascii="Verdana" w:hAnsi="Verdana"/>
                <w:b w:val="0"/>
                <w:bCs w:val="0"/>
                <w:sz w:val="18"/>
                <w:szCs w:val="18"/>
              </w:rPr>
            </w:pPr>
            <w:r w:rsidRPr="00632538">
              <w:rPr>
                <w:rFonts w:ascii="Verdana" w:hAnsi="Verdana"/>
                <w:b w:val="0"/>
                <w:bCs w:val="0"/>
                <w:sz w:val="18"/>
                <w:szCs w:val="18"/>
              </w:rPr>
              <w:t>Uitvoeringskosten</w:t>
            </w:r>
          </w:p>
        </w:tc>
        <w:tc>
          <w:tcPr>
            <w:tcW w:w="246" w:type="dxa"/>
            <w:vAlign w:val="center"/>
          </w:tcPr>
          <w:p w14:paraId="7CB42F6D" w14:textId="6E1E6045" w:rsidR="007D733A" w:rsidRPr="00A55758" w:rsidRDefault="00A55758" w:rsidP="00F11BF7">
            <w:pPr>
              <w:spacing w:line="260" w:lineRule="atLeast"/>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55758">
              <w:rPr>
                <w:rFonts w:ascii="Verdana" w:hAnsi="Verdana"/>
                <w:sz w:val="18"/>
                <w:szCs w:val="18"/>
              </w:rPr>
              <w:t>:</w:t>
            </w:r>
          </w:p>
        </w:tc>
        <w:tc>
          <w:tcPr>
            <w:tcW w:w="4587" w:type="dxa"/>
            <w:vAlign w:val="center"/>
          </w:tcPr>
          <w:p w14:paraId="278C5505" w14:textId="2BE43DAA" w:rsidR="007D733A" w:rsidRPr="00A55758" w:rsidRDefault="00A55758" w:rsidP="00F11BF7">
            <w:pPr>
              <w:spacing w:line="260" w:lineRule="atLeast"/>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55758">
              <w:rPr>
                <w:rFonts w:ascii="Verdana" w:hAnsi="Verdana"/>
                <w:sz w:val="18"/>
                <w:szCs w:val="18"/>
              </w:rPr>
              <w:t>uitgaven die rechtstreeks verband houden met de uitvoering van een order met betrekking tot een financieel instrument en die ten laste komen van de cliënt</w:t>
            </w:r>
          </w:p>
        </w:tc>
      </w:tr>
    </w:tbl>
    <w:p w14:paraId="679E02B5" w14:textId="77777777" w:rsidR="00587934" w:rsidRDefault="00587934" w:rsidP="00F11BF7">
      <w:pPr>
        <w:spacing w:line="260" w:lineRule="atLeast"/>
        <w:rPr>
          <w:rFonts w:ascii="Verdana" w:hAnsi="Verdana"/>
          <w:b/>
          <w:sz w:val="18"/>
          <w:szCs w:val="18"/>
        </w:rPr>
      </w:pPr>
    </w:p>
    <w:p w14:paraId="6977A713" w14:textId="77777777" w:rsidR="007A08CA" w:rsidRPr="00FD599B" w:rsidRDefault="007A08CA" w:rsidP="00F11BF7">
      <w:pPr>
        <w:spacing w:line="260" w:lineRule="atLeast"/>
        <w:rPr>
          <w:rFonts w:ascii="Verdana" w:hAnsi="Verdana"/>
          <w:sz w:val="18"/>
          <w:szCs w:val="18"/>
        </w:rPr>
      </w:pPr>
    </w:p>
    <w:p w14:paraId="3B6705FC" w14:textId="16DBDDD8" w:rsidR="007A08CA" w:rsidRDefault="00FD599B" w:rsidP="00F11BF7">
      <w:pPr>
        <w:spacing w:line="260" w:lineRule="atLeast"/>
        <w:rPr>
          <w:rFonts w:ascii="Verdana" w:hAnsi="Verdana"/>
          <w:b/>
          <w:sz w:val="18"/>
          <w:szCs w:val="18"/>
        </w:rPr>
      </w:pPr>
      <w:r w:rsidRPr="00E311C9">
        <w:rPr>
          <w:rFonts w:ascii="Verdana" w:hAnsi="Verdana"/>
          <w:b/>
          <w:sz w:val="18"/>
          <w:szCs w:val="18"/>
        </w:rPr>
        <w:t xml:space="preserve">Artikel </w:t>
      </w:r>
      <w:r w:rsidR="006A58BC">
        <w:rPr>
          <w:rFonts w:ascii="Verdana" w:hAnsi="Verdana"/>
          <w:b/>
          <w:sz w:val="18"/>
          <w:szCs w:val="18"/>
        </w:rPr>
        <w:t>2</w:t>
      </w:r>
      <w:r w:rsidRPr="00E311C9">
        <w:rPr>
          <w:rFonts w:ascii="Verdana" w:hAnsi="Verdana"/>
          <w:b/>
          <w:sz w:val="18"/>
          <w:szCs w:val="18"/>
        </w:rPr>
        <w:t>: Recht Tot Basisbankrekening</w:t>
      </w:r>
    </w:p>
    <w:p w14:paraId="7A5D5EDF" w14:textId="77777777" w:rsidR="00E311C9" w:rsidRPr="00E311C9" w:rsidRDefault="00E311C9" w:rsidP="00F11BF7">
      <w:pPr>
        <w:spacing w:line="260" w:lineRule="atLeast"/>
        <w:jc w:val="center"/>
        <w:rPr>
          <w:rFonts w:ascii="Verdana" w:hAnsi="Verdana"/>
          <w:b/>
          <w:sz w:val="18"/>
          <w:szCs w:val="18"/>
        </w:rPr>
      </w:pPr>
    </w:p>
    <w:p w14:paraId="6B0D9868" w14:textId="5241B149" w:rsidR="007D3356" w:rsidRDefault="007D3356" w:rsidP="00F11BF7">
      <w:pPr>
        <w:pStyle w:val="lid"/>
        <w:numPr>
          <w:ilvl w:val="0"/>
          <w:numId w:val="8"/>
        </w:numPr>
        <w:shd w:val="clear" w:color="auto" w:fill="FFFFFF"/>
        <w:spacing w:before="0" w:beforeAutospacing="0" w:after="0" w:afterAutospacing="0" w:line="260" w:lineRule="atLeast"/>
        <w:rPr>
          <w:rFonts w:ascii="Verdana" w:hAnsi="Verdana"/>
          <w:sz w:val="18"/>
          <w:szCs w:val="18"/>
          <w:lang w:val="nl-NL" w:eastAsia="nl-NL"/>
        </w:rPr>
      </w:pPr>
      <w:r w:rsidRPr="007D3356">
        <w:rPr>
          <w:rFonts w:ascii="Verdana" w:hAnsi="Verdana"/>
          <w:sz w:val="18"/>
          <w:szCs w:val="18"/>
          <w:lang w:val="nl-NL" w:eastAsia="nl-NL"/>
        </w:rPr>
        <w:t xml:space="preserve">Een bank die in </w:t>
      </w:r>
      <w:r w:rsidR="007A08CA">
        <w:rPr>
          <w:rFonts w:ascii="Verdana" w:hAnsi="Verdana"/>
          <w:sz w:val="18"/>
          <w:szCs w:val="18"/>
          <w:lang w:val="nl-NL" w:eastAsia="nl-NL"/>
        </w:rPr>
        <w:t>St. Maarten</w:t>
      </w:r>
      <w:r w:rsidRPr="007D3356">
        <w:rPr>
          <w:rFonts w:ascii="Verdana" w:hAnsi="Verdana"/>
          <w:sz w:val="18"/>
          <w:szCs w:val="18"/>
          <w:lang w:val="nl-NL" w:eastAsia="nl-NL"/>
        </w:rPr>
        <w:t xml:space="preserve"> betaalrekeningen aan consumenten aanbiedt, stelt consumenten die rechtmatig in </w:t>
      </w:r>
      <w:r w:rsidR="007A08CA">
        <w:rPr>
          <w:rFonts w:ascii="Verdana" w:hAnsi="Verdana"/>
          <w:sz w:val="18"/>
          <w:szCs w:val="18"/>
          <w:lang w:val="nl-NL" w:eastAsia="nl-NL"/>
        </w:rPr>
        <w:t>St.Maarten</w:t>
      </w:r>
      <w:r w:rsidRPr="007D3356">
        <w:rPr>
          <w:rFonts w:ascii="Verdana" w:hAnsi="Verdana"/>
          <w:sz w:val="18"/>
          <w:szCs w:val="18"/>
          <w:lang w:val="nl-NL" w:eastAsia="nl-NL"/>
        </w:rPr>
        <w:t xml:space="preserve"> verblijven op verzoek in de gelegenheid een basisbetaalrekening in </w:t>
      </w:r>
      <w:r w:rsidR="007A08CA">
        <w:rPr>
          <w:rFonts w:ascii="Verdana" w:hAnsi="Verdana"/>
          <w:sz w:val="18"/>
          <w:szCs w:val="18"/>
          <w:lang w:val="nl-NL" w:eastAsia="nl-NL"/>
        </w:rPr>
        <w:t xml:space="preserve">Nederlandse </w:t>
      </w:r>
      <w:r w:rsidR="007A08CA">
        <w:rPr>
          <w:rFonts w:ascii="Verdana" w:hAnsi="Verdana"/>
          <w:sz w:val="18"/>
          <w:szCs w:val="18"/>
          <w:lang w:val="nl-NL" w:eastAsia="nl-NL"/>
        </w:rPr>
        <w:lastRenderedPageBreak/>
        <w:t>Antilaanse Florin (Naf)</w:t>
      </w:r>
      <w:r w:rsidRPr="007D3356">
        <w:rPr>
          <w:rFonts w:ascii="Verdana" w:hAnsi="Verdana"/>
          <w:sz w:val="18"/>
          <w:szCs w:val="18"/>
          <w:lang w:val="nl-NL" w:eastAsia="nl-NL"/>
        </w:rPr>
        <w:t xml:space="preserve"> aan te vragen en te gebruiken, ongeacht de nationaliteit</w:t>
      </w:r>
      <w:r w:rsidR="00AB7C27">
        <w:rPr>
          <w:rFonts w:ascii="Verdana" w:hAnsi="Verdana"/>
          <w:sz w:val="18"/>
          <w:szCs w:val="18"/>
          <w:lang w:val="nl-NL" w:eastAsia="nl-NL"/>
        </w:rPr>
        <w:t xml:space="preserve"> of economische stand </w:t>
      </w:r>
      <w:r w:rsidRPr="007D3356">
        <w:rPr>
          <w:rFonts w:ascii="Verdana" w:hAnsi="Verdana"/>
          <w:sz w:val="18"/>
          <w:szCs w:val="18"/>
          <w:lang w:val="nl-NL" w:eastAsia="nl-NL"/>
        </w:rPr>
        <w:t xml:space="preserve">van de consument en ongeacht enige andere grond als bedoeld in artikel </w:t>
      </w:r>
      <w:r w:rsidR="007A08CA">
        <w:rPr>
          <w:rFonts w:ascii="Verdana" w:hAnsi="Verdana"/>
          <w:sz w:val="18"/>
          <w:szCs w:val="18"/>
          <w:lang w:val="nl-NL" w:eastAsia="nl-NL"/>
        </w:rPr>
        <w:t>16 van de staatsregeling St. Maarten</w:t>
      </w:r>
    </w:p>
    <w:p w14:paraId="73DFAF27" w14:textId="77777777" w:rsidR="007F143B" w:rsidRPr="007D3356" w:rsidRDefault="007F143B" w:rsidP="00F11BF7">
      <w:pPr>
        <w:pStyle w:val="lid"/>
        <w:shd w:val="clear" w:color="auto" w:fill="FFFFFF"/>
        <w:spacing w:before="0" w:beforeAutospacing="0" w:after="0" w:afterAutospacing="0" w:line="260" w:lineRule="atLeast"/>
        <w:ind w:left="360"/>
        <w:rPr>
          <w:rFonts w:ascii="Verdana" w:hAnsi="Verdana"/>
          <w:sz w:val="18"/>
          <w:szCs w:val="18"/>
          <w:lang w:val="nl-NL" w:eastAsia="nl-NL"/>
        </w:rPr>
      </w:pPr>
    </w:p>
    <w:p w14:paraId="039CB051" w14:textId="3F4A541F" w:rsidR="007D3356" w:rsidRDefault="007D3356" w:rsidP="00F11BF7">
      <w:pPr>
        <w:pStyle w:val="lid"/>
        <w:numPr>
          <w:ilvl w:val="0"/>
          <w:numId w:val="8"/>
        </w:numPr>
        <w:shd w:val="clear" w:color="auto" w:fill="FFFFFF"/>
        <w:spacing w:before="0" w:beforeAutospacing="0" w:after="0" w:afterAutospacing="0" w:line="260" w:lineRule="atLeast"/>
        <w:rPr>
          <w:rFonts w:ascii="Verdana" w:hAnsi="Verdana"/>
          <w:sz w:val="18"/>
          <w:szCs w:val="18"/>
          <w:lang w:val="nl-NL" w:eastAsia="nl-NL"/>
        </w:rPr>
      </w:pPr>
      <w:r w:rsidRPr="007D3356">
        <w:rPr>
          <w:rFonts w:ascii="Verdana" w:hAnsi="Verdana"/>
          <w:sz w:val="18"/>
          <w:szCs w:val="18"/>
          <w:lang w:val="nl-NL" w:eastAsia="nl-NL"/>
        </w:rPr>
        <w:t>Voor de toepassing van d</w:t>
      </w:r>
      <w:r w:rsidR="009C4379">
        <w:rPr>
          <w:rFonts w:ascii="Verdana" w:hAnsi="Verdana"/>
          <w:sz w:val="18"/>
          <w:szCs w:val="18"/>
          <w:lang w:val="nl-NL" w:eastAsia="nl-NL"/>
        </w:rPr>
        <w:t>it artikel</w:t>
      </w:r>
      <w:r w:rsidRPr="007D3356">
        <w:rPr>
          <w:rFonts w:ascii="Verdana" w:hAnsi="Verdana"/>
          <w:sz w:val="18"/>
          <w:szCs w:val="18"/>
          <w:lang w:val="nl-NL" w:eastAsia="nl-NL"/>
        </w:rPr>
        <w:t xml:space="preserve"> wordt onder consumenten die rechtmatig in </w:t>
      </w:r>
      <w:r w:rsidR="007A08CA">
        <w:rPr>
          <w:rFonts w:ascii="Verdana" w:hAnsi="Verdana"/>
          <w:sz w:val="18"/>
          <w:szCs w:val="18"/>
          <w:lang w:val="nl-NL" w:eastAsia="nl-NL"/>
        </w:rPr>
        <w:t xml:space="preserve">St. Maarten </w:t>
      </w:r>
      <w:r w:rsidRPr="007D3356">
        <w:rPr>
          <w:rFonts w:ascii="Verdana" w:hAnsi="Verdana"/>
          <w:sz w:val="18"/>
          <w:szCs w:val="18"/>
          <w:lang w:val="nl-NL" w:eastAsia="nl-NL"/>
        </w:rPr>
        <w:t>verblijven mede</w:t>
      </w:r>
      <w:r w:rsidR="008472F4">
        <w:rPr>
          <w:rFonts w:ascii="Verdana" w:hAnsi="Verdana"/>
          <w:sz w:val="18"/>
          <w:szCs w:val="18"/>
          <w:lang w:val="nl-NL" w:eastAsia="nl-NL"/>
        </w:rPr>
        <w:t xml:space="preserve"> verstaan consumenten die in St. Maarten als geregistreerd in de nationale register van St. Maarten.</w:t>
      </w:r>
    </w:p>
    <w:p w14:paraId="2D24C182" w14:textId="77777777" w:rsidR="00E311C9" w:rsidRPr="007D3356" w:rsidRDefault="00E311C9" w:rsidP="00F11BF7">
      <w:pPr>
        <w:pStyle w:val="lid"/>
        <w:shd w:val="clear" w:color="auto" w:fill="FFFFFF"/>
        <w:spacing w:before="0" w:beforeAutospacing="0" w:after="0" w:afterAutospacing="0" w:line="260" w:lineRule="atLeast"/>
        <w:ind w:left="360"/>
        <w:rPr>
          <w:rFonts w:ascii="Verdana" w:hAnsi="Verdana"/>
          <w:sz w:val="18"/>
          <w:szCs w:val="18"/>
          <w:lang w:val="nl-NL" w:eastAsia="nl-NL"/>
        </w:rPr>
      </w:pPr>
    </w:p>
    <w:p w14:paraId="762066E6" w14:textId="5B31677F" w:rsidR="00505FC0" w:rsidRDefault="007D3356" w:rsidP="00F11BF7">
      <w:pPr>
        <w:pStyle w:val="lid"/>
        <w:numPr>
          <w:ilvl w:val="0"/>
          <w:numId w:val="8"/>
        </w:numPr>
        <w:shd w:val="clear" w:color="auto" w:fill="FFFFFF"/>
        <w:spacing w:before="0" w:beforeAutospacing="0" w:after="0" w:afterAutospacing="0" w:line="260" w:lineRule="atLeast"/>
        <w:rPr>
          <w:rFonts w:ascii="Verdana" w:hAnsi="Verdana"/>
          <w:sz w:val="18"/>
          <w:szCs w:val="18"/>
          <w:lang w:val="nl-NL" w:eastAsia="nl-NL"/>
        </w:rPr>
      </w:pPr>
      <w:r w:rsidRPr="007D3356">
        <w:rPr>
          <w:rFonts w:ascii="Verdana" w:hAnsi="Verdana"/>
          <w:sz w:val="18"/>
          <w:szCs w:val="18"/>
          <w:lang w:val="nl-NL" w:eastAsia="nl-NL"/>
        </w:rPr>
        <w:t>Een basisbe</w:t>
      </w:r>
      <w:r w:rsidR="00505FC0">
        <w:rPr>
          <w:rFonts w:ascii="Verdana" w:hAnsi="Verdana"/>
          <w:sz w:val="18"/>
          <w:szCs w:val="18"/>
          <w:lang w:val="nl-NL" w:eastAsia="nl-NL"/>
        </w:rPr>
        <w:t>taalrekening omvat de volgende diensten:</w:t>
      </w:r>
    </w:p>
    <w:tbl>
      <w:tblPr>
        <w:tblW w:w="5000" w:type="pct"/>
        <w:tblInd w:w="720" w:type="dxa"/>
        <w:shd w:val="clear" w:color="auto" w:fill="FFFFFF"/>
        <w:tblCellMar>
          <w:left w:w="0" w:type="dxa"/>
          <w:right w:w="0" w:type="dxa"/>
        </w:tblCellMar>
        <w:tblLook w:val="04A0" w:firstRow="1" w:lastRow="0" w:firstColumn="1" w:lastColumn="0" w:noHBand="0" w:noVBand="1"/>
      </w:tblPr>
      <w:tblGrid>
        <w:gridCol w:w="194"/>
        <w:gridCol w:w="6666"/>
      </w:tblGrid>
      <w:tr w:rsidR="00505FC0" w:rsidRPr="00505FC0" w14:paraId="6287EF97" w14:textId="77777777" w:rsidTr="00E311C9">
        <w:tc>
          <w:tcPr>
            <w:tcW w:w="0" w:type="auto"/>
            <w:shd w:val="clear" w:color="auto" w:fill="FFFFFF"/>
            <w:hideMark/>
          </w:tcPr>
          <w:p w14:paraId="54187B1E" w14:textId="77777777" w:rsidR="00505FC0" w:rsidRPr="00505FC0" w:rsidRDefault="00505FC0" w:rsidP="00F11BF7">
            <w:pPr>
              <w:spacing w:line="260" w:lineRule="atLeast"/>
              <w:jc w:val="both"/>
              <w:rPr>
                <w:rFonts w:ascii="Verdana" w:hAnsi="Verdana"/>
                <w:sz w:val="18"/>
                <w:szCs w:val="18"/>
              </w:rPr>
            </w:pPr>
            <w:r w:rsidRPr="00505FC0">
              <w:rPr>
                <w:rFonts w:ascii="Verdana" w:hAnsi="Verdana"/>
                <w:sz w:val="18"/>
                <w:szCs w:val="18"/>
              </w:rPr>
              <w:t>a)</w:t>
            </w:r>
          </w:p>
        </w:tc>
        <w:tc>
          <w:tcPr>
            <w:tcW w:w="0" w:type="auto"/>
            <w:shd w:val="clear" w:color="auto" w:fill="FFFFFF"/>
            <w:hideMark/>
          </w:tcPr>
          <w:p w14:paraId="4A380796" w14:textId="77777777" w:rsidR="00505FC0" w:rsidRPr="00505FC0" w:rsidRDefault="00505FC0" w:rsidP="00F11BF7">
            <w:pPr>
              <w:spacing w:line="260" w:lineRule="atLeast"/>
              <w:jc w:val="both"/>
              <w:rPr>
                <w:rFonts w:ascii="Verdana" w:hAnsi="Verdana"/>
                <w:sz w:val="18"/>
                <w:szCs w:val="18"/>
              </w:rPr>
            </w:pPr>
            <w:r w:rsidRPr="00505FC0">
              <w:rPr>
                <w:rFonts w:ascii="Verdana" w:hAnsi="Verdana"/>
                <w:sz w:val="18"/>
                <w:szCs w:val="18"/>
              </w:rPr>
              <w:t>diensten waarmee alle verrichtingen kunnen worden uitgevoerd die nodig zijn voor het openen, gebruiken en beëindigen van een betaalrekening;</w:t>
            </w:r>
          </w:p>
        </w:tc>
      </w:tr>
      <w:tr w:rsidR="00505FC0" w:rsidRPr="00505FC0" w14:paraId="440DFC43" w14:textId="77777777" w:rsidTr="00E311C9">
        <w:tc>
          <w:tcPr>
            <w:tcW w:w="0" w:type="auto"/>
            <w:shd w:val="clear" w:color="auto" w:fill="FFFFFF"/>
            <w:hideMark/>
          </w:tcPr>
          <w:p w14:paraId="13FF557D" w14:textId="77777777" w:rsidR="00505FC0" w:rsidRPr="00505FC0" w:rsidRDefault="00505FC0" w:rsidP="00F11BF7">
            <w:pPr>
              <w:spacing w:line="260" w:lineRule="atLeast"/>
              <w:jc w:val="both"/>
              <w:rPr>
                <w:rFonts w:ascii="Verdana" w:hAnsi="Verdana"/>
                <w:sz w:val="18"/>
                <w:szCs w:val="18"/>
              </w:rPr>
            </w:pPr>
            <w:r w:rsidRPr="00505FC0">
              <w:rPr>
                <w:rFonts w:ascii="Verdana" w:hAnsi="Verdana"/>
                <w:sz w:val="18"/>
                <w:szCs w:val="18"/>
              </w:rPr>
              <w:t>b)</w:t>
            </w:r>
          </w:p>
        </w:tc>
        <w:tc>
          <w:tcPr>
            <w:tcW w:w="0" w:type="auto"/>
            <w:shd w:val="clear" w:color="auto" w:fill="FFFFFF"/>
            <w:hideMark/>
          </w:tcPr>
          <w:p w14:paraId="457F69E3" w14:textId="77777777" w:rsidR="00505FC0" w:rsidRPr="00505FC0" w:rsidRDefault="00505FC0" w:rsidP="00F11BF7">
            <w:pPr>
              <w:spacing w:line="260" w:lineRule="atLeast"/>
              <w:jc w:val="both"/>
              <w:rPr>
                <w:rFonts w:ascii="Verdana" w:hAnsi="Verdana"/>
                <w:sz w:val="18"/>
                <w:szCs w:val="18"/>
              </w:rPr>
            </w:pPr>
            <w:r w:rsidRPr="00505FC0">
              <w:rPr>
                <w:rFonts w:ascii="Verdana" w:hAnsi="Verdana"/>
                <w:sz w:val="18"/>
                <w:szCs w:val="18"/>
              </w:rPr>
              <w:t>diensten waarmee geldmiddelen op een betaalrekening kunnen worden gestort;</w:t>
            </w:r>
          </w:p>
        </w:tc>
      </w:tr>
      <w:tr w:rsidR="00505FC0" w:rsidRPr="00505FC0" w14:paraId="484CC910" w14:textId="77777777" w:rsidTr="00E311C9">
        <w:tc>
          <w:tcPr>
            <w:tcW w:w="0" w:type="auto"/>
            <w:shd w:val="clear" w:color="auto" w:fill="FFFFFF"/>
            <w:hideMark/>
          </w:tcPr>
          <w:p w14:paraId="6793652A" w14:textId="77777777" w:rsidR="00505FC0" w:rsidRPr="00505FC0" w:rsidRDefault="00505FC0" w:rsidP="00F11BF7">
            <w:pPr>
              <w:spacing w:line="260" w:lineRule="atLeast"/>
              <w:jc w:val="both"/>
              <w:rPr>
                <w:rFonts w:ascii="Verdana" w:hAnsi="Verdana"/>
                <w:sz w:val="18"/>
                <w:szCs w:val="18"/>
              </w:rPr>
            </w:pPr>
            <w:r w:rsidRPr="00505FC0">
              <w:rPr>
                <w:rFonts w:ascii="Verdana" w:hAnsi="Verdana"/>
                <w:sz w:val="18"/>
                <w:szCs w:val="18"/>
              </w:rPr>
              <w:t>c)</w:t>
            </w:r>
          </w:p>
        </w:tc>
        <w:tc>
          <w:tcPr>
            <w:tcW w:w="0" w:type="auto"/>
            <w:shd w:val="clear" w:color="auto" w:fill="FFFFFF"/>
            <w:hideMark/>
          </w:tcPr>
          <w:p w14:paraId="1C9CD965" w14:textId="77777777" w:rsidR="00505FC0" w:rsidRPr="00505FC0" w:rsidRDefault="00505FC0" w:rsidP="00F11BF7">
            <w:pPr>
              <w:spacing w:line="260" w:lineRule="atLeast"/>
              <w:jc w:val="both"/>
              <w:rPr>
                <w:rFonts w:ascii="Verdana" w:hAnsi="Verdana"/>
                <w:sz w:val="18"/>
                <w:szCs w:val="18"/>
              </w:rPr>
            </w:pPr>
            <w:r>
              <w:rPr>
                <w:rFonts w:ascii="Verdana" w:hAnsi="Verdana"/>
                <w:sz w:val="18"/>
                <w:szCs w:val="18"/>
              </w:rPr>
              <w:t xml:space="preserve">diensten waarmee binnen St. Maarten </w:t>
            </w:r>
            <w:r w:rsidRPr="00505FC0">
              <w:rPr>
                <w:rFonts w:ascii="Verdana" w:hAnsi="Verdana"/>
                <w:sz w:val="18"/>
                <w:szCs w:val="18"/>
              </w:rPr>
              <w:t>contanten van een betaalrekening kunnen worden opgenomen, aan het loket of bij geldautomaten tijdens of buiten de openingstijden van de kredietinstelling;</w:t>
            </w:r>
          </w:p>
        </w:tc>
      </w:tr>
      <w:tr w:rsidR="00505FC0" w:rsidRPr="00505FC0" w14:paraId="663E782D" w14:textId="77777777" w:rsidTr="00E311C9">
        <w:tc>
          <w:tcPr>
            <w:tcW w:w="0" w:type="auto"/>
            <w:shd w:val="clear" w:color="auto" w:fill="FFFFFF"/>
            <w:hideMark/>
          </w:tcPr>
          <w:p w14:paraId="44CA4EB1" w14:textId="77777777" w:rsidR="00505FC0" w:rsidRPr="00505FC0" w:rsidRDefault="00505FC0" w:rsidP="00F11BF7">
            <w:pPr>
              <w:spacing w:line="260" w:lineRule="atLeast"/>
              <w:jc w:val="both"/>
              <w:rPr>
                <w:rFonts w:ascii="Verdana" w:hAnsi="Verdana"/>
                <w:sz w:val="18"/>
                <w:szCs w:val="18"/>
              </w:rPr>
            </w:pPr>
            <w:r w:rsidRPr="00505FC0">
              <w:rPr>
                <w:rFonts w:ascii="Verdana" w:hAnsi="Verdana"/>
                <w:sz w:val="18"/>
                <w:szCs w:val="18"/>
              </w:rPr>
              <w:t>d)</w:t>
            </w:r>
          </w:p>
        </w:tc>
        <w:tc>
          <w:tcPr>
            <w:tcW w:w="0" w:type="auto"/>
            <w:shd w:val="clear" w:color="auto" w:fill="FFFFFF"/>
            <w:hideMark/>
          </w:tcPr>
          <w:p w14:paraId="2039BB03" w14:textId="77777777" w:rsidR="00505FC0" w:rsidRPr="00505FC0" w:rsidRDefault="00505FC0" w:rsidP="00F11BF7">
            <w:pPr>
              <w:spacing w:line="260" w:lineRule="atLeast"/>
              <w:jc w:val="both"/>
              <w:rPr>
                <w:rFonts w:ascii="Verdana" w:hAnsi="Verdana"/>
                <w:sz w:val="18"/>
                <w:szCs w:val="18"/>
              </w:rPr>
            </w:pPr>
            <w:r w:rsidRPr="00505FC0">
              <w:rPr>
                <w:rFonts w:ascii="Verdana" w:hAnsi="Verdana"/>
                <w:sz w:val="18"/>
                <w:szCs w:val="18"/>
              </w:rPr>
              <w:t xml:space="preserve">uitvoering van de volgende betalingstransacties binnen </w:t>
            </w:r>
            <w:r>
              <w:rPr>
                <w:rFonts w:ascii="Verdana" w:hAnsi="Verdana"/>
                <w:sz w:val="18"/>
                <w:szCs w:val="18"/>
              </w:rPr>
              <w:t>St. Maarten</w:t>
            </w:r>
            <w:r w:rsidRPr="00505FC0">
              <w:rPr>
                <w:rFonts w:ascii="Verdana" w:hAnsi="Verdana"/>
                <w:sz w:val="18"/>
                <w:szCs w:val="18"/>
              </w:rPr>
              <w:t>:</w:t>
            </w:r>
          </w:p>
          <w:tbl>
            <w:tblPr>
              <w:tblW w:w="5000" w:type="pct"/>
              <w:tblCellMar>
                <w:left w:w="0" w:type="dxa"/>
                <w:right w:w="0" w:type="dxa"/>
              </w:tblCellMar>
              <w:tblLook w:val="04A0" w:firstRow="1" w:lastRow="0" w:firstColumn="1" w:lastColumn="0" w:noHBand="0" w:noVBand="1"/>
            </w:tblPr>
            <w:tblGrid>
              <w:gridCol w:w="230"/>
              <w:gridCol w:w="6436"/>
            </w:tblGrid>
            <w:tr w:rsidR="00505FC0" w:rsidRPr="00505FC0" w14:paraId="33A6477C" w14:textId="77777777">
              <w:tc>
                <w:tcPr>
                  <w:tcW w:w="0" w:type="auto"/>
                  <w:shd w:val="clear" w:color="auto" w:fill="auto"/>
                  <w:hideMark/>
                </w:tcPr>
                <w:p w14:paraId="61C82C58" w14:textId="77777777" w:rsidR="00505FC0" w:rsidRPr="00505FC0" w:rsidRDefault="00505FC0" w:rsidP="00F11BF7">
                  <w:pPr>
                    <w:spacing w:line="260" w:lineRule="atLeast"/>
                    <w:jc w:val="both"/>
                    <w:rPr>
                      <w:rFonts w:ascii="Verdana" w:hAnsi="Verdana"/>
                      <w:sz w:val="18"/>
                      <w:szCs w:val="18"/>
                    </w:rPr>
                  </w:pPr>
                  <w:r w:rsidRPr="00505FC0">
                    <w:rPr>
                      <w:rFonts w:ascii="Verdana" w:hAnsi="Verdana"/>
                      <w:sz w:val="18"/>
                      <w:szCs w:val="18"/>
                    </w:rPr>
                    <w:t>i)</w:t>
                  </w:r>
                </w:p>
              </w:tc>
              <w:tc>
                <w:tcPr>
                  <w:tcW w:w="0" w:type="auto"/>
                  <w:shd w:val="clear" w:color="auto" w:fill="auto"/>
                  <w:hideMark/>
                </w:tcPr>
                <w:p w14:paraId="575A0608" w14:textId="77777777" w:rsidR="00505FC0" w:rsidRPr="00505FC0" w:rsidRDefault="00505FC0" w:rsidP="00F11BF7">
                  <w:pPr>
                    <w:spacing w:line="260" w:lineRule="atLeast"/>
                    <w:jc w:val="both"/>
                    <w:rPr>
                      <w:rFonts w:ascii="Verdana" w:hAnsi="Verdana"/>
                      <w:sz w:val="18"/>
                      <w:szCs w:val="18"/>
                    </w:rPr>
                  </w:pPr>
                  <w:r w:rsidRPr="00505FC0">
                    <w:rPr>
                      <w:rFonts w:ascii="Verdana" w:hAnsi="Verdana"/>
                      <w:sz w:val="18"/>
                      <w:szCs w:val="18"/>
                    </w:rPr>
                    <w:t>automatische afschrijving;</w:t>
                  </w:r>
                </w:p>
              </w:tc>
            </w:tr>
            <w:tr w:rsidR="00505FC0" w:rsidRPr="00505FC0" w14:paraId="466BDBCD" w14:textId="77777777">
              <w:tc>
                <w:tcPr>
                  <w:tcW w:w="0" w:type="auto"/>
                  <w:shd w:val="clear" w:color="auto" w:fill="auto"/>
                  <w:hideMark/>
                </w:tcPr>
                <w:p w14:paraId="0D112D14" w14:textId="77777777" w:rsidR="00505FC0" w:rsidRPr="00505FC0" w:rsidRDefault="00505FC0" w:rsidP="00F11BF7">
                  <w:pPr>
                    <w:spacing w:line="260" w:lineRule="atLeast"/>
                    <w:jc w:val="both"/>
                    <w:rPr>
                      <w:rFonts w:ascii="Verdana" w:hAnsi="Verdana"/>
                      <w:sz w:val="18"/>
                      <w:szCs w:val="18"/>
                    </w:rPr>
                  </w:pPr>
                  <w:r w:rsidRPr="00505FC0">
                    <w:rPr>
                      <w:rFonts w:ascii="Verdana" w:hAnsi="Verdana"/>
                      <w:sz w:val="18"/>
                      <w:szCs w:val="18"/>
                    </w:rPr>
                    <w:t>ii)</w:t>
                  </w:r>
                </w:p>
              </w:tc>
              <w:tc>
                <w:tcPr>
                  <w:tcW w:w="0" w:type="auto"/>
                  <w:shd w:val="clear" w:color="auto" w:fill="auto"/>
                  <w:hideMark/>
                </w:tcPr>
                <w:p w14:paraId="66FB0140" w14:textId="77777777" w:rsidR="00505FC0" w:rsidRPr="00505FC0" w:rsidRDefault="00505FC0" w:rsidP="00F11BF7">
                  <w:pPr>
                    <w:spacing w:line="260" w:lineRule="atLeast"/>
                    <w:jc w:val="both"/>
                    <w:rPr>
                      <w:rFonts w:ascii="Verdana" w:hAnsi="Verdana"/>
                      <w:sz w:val="18"/>
                      <w:szCs w:val="18"/>
                    </w:rPr>
                  </w:pPr>
                  <w:r w:rsidRPr="00505FC0">
                    <w:rPr>
                      <w:rFonts w:ascii="Verdana" w:hAnsi="Verdana"/>
                      <w:sz w:val="18"/>
                      <w:szCs w:val="18"/>
                    </w:rPr>
                    <w:t>betalingstransacties via een betaalkaart, daaronder begrepen onlinebetalingen;</w:t>
                  </w:r>
                </w:p>
              </w:tc>
            </w:tr>
            <w:tr w:rsidR="00505FC0" w:rsidRPr="00505FC0" w14:paraId="3BCC8F28" w14:textId="77777777">
              <w:tc>
                <w:tcPr>
                  <w:tcW w:w="0" w:type="auto"/>
                  <w:shd w:val="clear" w:color="auto" w:fill="auto"/>
                  <w:hideMark/>
                </w:tcPr>
                <w:p w14:paraId="32DC225D" w14:textId="77777777" w:rsidR="00505FC0" w:rsidRPr="00505FC0" w:rsidRDefault="00505FC0" w:rsidP="00F11BF7">
                  <w:pPr>
                    <w:spacing w:line="260" w:lineRule="atLeast"/>
                    <w:jc w:val="both"/>
                    <w:rPr>
                      <w:rFonts w:ascii="Verdana" w:hAnsi="Verdana"/>
                      <w:sz w:val="18"/>
                      <w:szCs w:val="18"/>
                    </w:rPr>
                  </w:pPr>
                  <w:r w:rsidRPr="00505FC0">
                    <w:rPr>
                      <w:rFonts w:ascii="Verdana" w:hAnsi="Verdana"/>
                      <w:sz w:val="18"/>
                      <w:szCs w:val="18"/>
                    </w:rPr>
                    <w:t>iii)</w:t>
                  </w:r>
                </w:p>
              </w:tc>
              <w:tc>
                <w:tcPr>
                  <w:tcW w:w="0" w:type="auto"/>
                  <w:shd w:val="clear" w:color="auto" w:fill="auto"/>
                  <w:hideMark/>
                </w:tcPr>
                <w:p w14:paraId="421F09ED" w14:textId="77777777" w:rsidR="00505FC0" w:rsidRPr="00505FC0" w:rsidRDefault="00505FC0" w:rsidP="00F11BF7">
                  <w:pPr>
                    <w:spacing w:line="260" w:lineRule="atLeast"/>
                    <w:jc w:val="both"/>
                    <w:rPr>
                      <w:rFonts w:ascii="Verdana" w:hAnsi="Verdana"/>
                      <w:sz w:val="18"/>
                      <w:szCs w:val="18"/>
                    </w:rPr>
                  </w:pPr>
                  <w:r w:rsidRPr="00505FC0">
                    <w:rPr>
                      <w:rFonts w:ascii="Verdana" w:hAnsi="Verdana"/>
                      <w:sz w:val="18"/>
                      <w:szCs w:val="18"/>
                    </w:rPr>
                    <w:t>overmakingen, met inbegrip van doorlopende opdrachten aan, indien beschikbaar, terminals en loketten en via het internetplatform van de kredietinstelling.</w:t>
                  </w:r>
                </w:p>
              </w:tc>
            </w:tr>
          </w:tbl>
          <w:p w14:paraId="319CC501" w14:textId="77777777" w:rsidR="00505FC0" w:rsidRPr="00505FC0" w:rsidRDefault="00505FC0" w:rsidP="00F11BF7">
            <w:pPr>
              <w:spacing w:line="260" w:lineRule="atLeast"/>
              <w:rPr>
                <w:rFonts w:ascii="Verdana" w:hAnsi="Verdana"/>
                <w:sz w:val="18"/>
                <w:szCs w:val="18"/>
              </w:rPr>
            </w:pPr>
          </w:p>
        </w:tc>
      </w:tr>
    </w:tbl>
    <w:p w14:paraId="059534C3" w14:textId="77777777" w:rsidR="00E311C9" w:rsidRDefault="00E311C9" w:rsidP="00F11BF7">
      <w:pPr>
        <w:shd w:val="clear" w:color="auto" w:fill="FFFFFF"/>
        <w:spacing w:line="260" w:lineRule="atLeast"/>
        <w:jc w:val="both"/>
        <w:rPr>
          <w:rFonts w:ascii="Verdana" w:hAnsi="Verdana"/>
          <w:sz w:val="18"/>
          <w:szCs w:val="18"/>
        </w:rPr>
      </w:pPr>
    </w:p>
    <w:p w14:paraId="4815CB38" w14:textId="79179763" w:rsidR="00505FC0" w:rsidRPr="00505FC0" w:rsidRDefault="00505FC0" w:rsidP="00F11BF7">
      <w:pPr>
        <w:shd w:val="clear" w:color="auto" w:fill="FFFFFF"/>
        <w:spacing w:line="260" w:lineRule="atLeast"/>
        <w:jc w:val="both"/>
        <w:rPr>
          <w:rFonts w:ascii="Verdana" w:hAnsi="Verdana"/>
          <w:sz w:val="18"/>
          <w:szCs w:val="18"/>
        </w:rPr>
      </w:pPr>
      <w:r w:rsidRPr="00505FC0">
        <w:rPr>
          <w:rFonts w:ascii="Verdana" w:hAnsi="Verdana"/>
          <w:sz w:val="18"/>
          <w:szCs w:val="18"/>
        </w:rPr>
        <w:t>De onder a) tot en met d) vermelde diensten worden door kredietinstellingen aangeboden voor zover zij die reeds aanbieden aan consumenten die andere betaalrekeningen dan een basisbetaalrekening aanhouden.</w:t>
      </w:r>
    </w:p>
    <w:p w14:paraId="07220DE5" w14:textId="77777777" w:rsidR="00505FC0" w:rsidRDefault="00505FC0" w:rsidP="00F11BF7">
      <w:pPr>
        <w:pStyle w:val="lid"/>
        <w:shd w:val="clear" w:color="auto" w:fill="FFFFFF"/>
        <w:spacing w:before="0" w:beforeAutospacing="0" w:after="0" w:afterAutospacing="0" w:line="260" w:lineRule="atLeast"/>
        <w:rPr>
          <w:rFonts w:ascii="Verdana" w:hAnsi="Verdana"/>
          <w:sz w:val="18"/>
          <w:szCs w:val="18"/>
          <w:lang w:val="nl-NL" w:eastAsia="nl-NL"/>
        </w:rPr>
      </w:pPr>
    </w:p>
    <w:p w14:paraId="407BC8E8" w14:textId="1D9A56B7" w:rsidR="007D3356" w:rsidRDefault="007D3356" w:rsidP="00F11BF7">
      <w:pPr>
        <w:pStyle w:val="lid"/>
        <w:numPr>
          <w:ilvl w:val="0"/>
          <w:numId w:val="8"/>
        </w:numPr>
        <w:shd w:val="clear" w:color="auto" w:fill="FFFFFF"/>
        <w:spacing w:before="0" w:beforeAutospacing="0" w:after="0" w:afterAutospacing="0" w:line="260" w:lineRule="atLeast"/>
        <w:rPr>
          <w:rFonts w:ascii="Verdana" w:hAnsi="Verdana"/>
          <w:sz w:val="18"/>
          <w:szCs w:val="18"/>
          <w:lang w:val="nl-NL" w:eastAsia="nl-NL"/>
        </w:rPr>
      </w:pPr>
      <w:r w:rsidRPr="007D3356">
        <w:rPr>
          <w:rFonts w:ascii="Verdana" w:hAnsi="Verdana"/>
          <w:sz w:val="18"/>
          <w:szCs w:val="18"/>
          <w:lang w:val="nl-NL" w:eastAsia="nl-NL"/>
        </w:rPr>
        <w:t xml:space="preserve">De bank opent een basisbetaalrekening uiterlijk </w:t>
      </w:r>
      <w:r w:rsidR="005E6C56">
        <w:rPr>
          <w:rFonts w:ascii="Verdana" w:hAnsi="Verdana"/>
          <w:sz w:val="18"/>
          <w:szCs w:val="18"/>
          <w:lang w:val="nl-NL" w:eastAsia="nl-NL"/>
        </w:rPr>
        <w:t>vijftien</w:t>
      </w:r>
      <w:r w:rsidRPr="007D3356">
        <w:rPr>
          <w:rFonts w:ascii="Verdana" w:hAnsi="Verdana"/>
          <w:sz w:val="18"/>
          <w:szCs w:val="18"/>
          <w:lang w:val="nl-NL" w:eastAsia="nl-NL"/>
        </w:rPr>
        <w:t xml:space="preserve"> werkdagen na ontvangst van de volledige aanvraag, tenzij een of meer van de weigeringsgronden, bedoeld in </w:t>
      </w:r>
      <w:hyperlink r:id="rId11" w:anchor="Titeldeel4_Hoofdstuk4.3_Afdeling4.3.1_Paragraaf4.3.1.8_Artikel4:71g" w:history="1">
        <w:r w:rsidRPr="007D3356">
          <w:rPr>
            <w:rFonts w:ascii="Verdana" w:hAnsi="Verdana"/>
            <w:sz w:val="18"/>
            <w:szCs w:val="18"/>
            <w:lang w:val="nl-NL" w:eastAsia="nl-NL"/>
          </w:rPr>
          <w:t xml:space="preserve">artikel </w:t>
        </w:r>
        <w:r w:rsidR="00FD599B">
          <w:rPr>
            <w:rFonts w:ascii="Verdana" w:hAnsi="Verdana"/>
            <w:sz w:val="18"/>
            <w:szCs w:val="18"/>
            <w:lang w:val="nl-NL" w:eastAsia="nl-NL"/>
          </w:rPr>
          <w:t>3</w:t>
        </w:r>
      </w:hyperlink>
      <w:r w:rsidRPr="007D3356">
        <w:rPr>
          <w:rFonts w:ascii="Verdana" w:hAnsi="Verdana"/>
          <w:sz w:val="18"/>
          <w:szCs w:val="18"/>
          <w:lang w:val="nl-NL" w:eastAsia="nl-NL"/>
        </w:rPr>
        <w:t> van toepassing zijn.</w:t>
      </w:r>
    </w:p>
    <w:p w14:paraId="67D74764" w14:textId="77777777" w:rsidR="00E311C9" w:rsidRPr="007D3356" w:rsidRDefault="00E311C9" w:rsidP="00F11BF7">
      <w:pPr>
        <w:pStyle w:val="lid"/>
        <w:shd w:val="clear" w:color="auto" w:fill="FFFFFF"/>
        <w:spacing w:before="0" w:beforeAutospacing="0" w:after="0" w:afterAutospacing="0" w:line="260" w:lineRule="atLeast"/>
        <w:ind w:left="360"/>
        <w:rPr>
          <w:rFonts w:ascii="Verdana" w:hAnsi="Verdana"/>
          <w:sz w:val="18"/>
          <w:szCs w:val="18"/>
          <w:lang w:val="nl-NL" w:eastAsia="nl-NL"/>
        </w:rPr>
      </w:pPr>
    </w:p>
    <w:p w14:paraId="48DAC2BC" w14:textId="77777777" w:rsidR="007D3356" w:rsidRDefault="007D3356" w:rsidP="00F11BF7">
      <w:pPr>
        <w:pStyle w:val="lid"/>
        <w:numPr>
          <w:ilvl w:val="0"/>
          <w:numId w:val="8"/>
        </w:numPr>
        <w:shd w:val="clear" w:color="auto" w:fill="FFFFFF"/>
        <w:spacing w:before="0" w:beforeAutospacing="0" w:after="0" w:afterAutospacing="0" w:line="260" w:lineRule="atLeast"/>
        <w:rPr>
          <w:rFonts w:ascii="Verdana" w:hAnsi="Verdana"/>
          <w:sz w:val="18"/>
          <w:szCs w:val="18"/>
          <w:lang w:val="nl-NL" w:eastAsia="nl-NL"/>
        </w:rPr>
      </w:pPr>
      <w:r w:rsidRPr="007D3356">
        <w:rPr>
          <w:rFonts w:ascii="Verdana" w:hAnsi="Verdana"/>
          <w:sz w:val="18"/>
          <w:szCs w:val="18"/>
          <w:lang w:val="nl-NL" w:eastAsia="nl-NL"/>
        </w:rPr>
        <w:t>De bank verplicht de aanvrager bij het openen van een basisbetaalrekening niet tot het afnemen van andere diensten of producten, tenzij het gaat om de verplichting tot het deelnemen in het eigen vermogen van de betreffende bank en de bank alle consumenten hiertoe verplicht bij het openen van een betaalrekening.</w:t>
      </w:r>
    </w:p>
    <w:p w14:paraId="0B6D865C" w14:textId="77777777" w:rsidR="00E311C9" w:rsidRDefault="00E311C9" w:rsidP="00F11BF7">
      <w:pPr>
        <w:pStyle w:val="ListParagraph"/>
        <w:spacing w:line="260" w:lineRule="atLeast"/>
        <w:rPr>
          <w:rFonts w:ascii="Verdana" w:hAnsi="Verdana"/>
          <w:sz w:val="18"/>
          <w:szCs w:val="18"/>
          <w:lang w:eastAsia="nl-NL"/>
        </w:rPr>
      </w:pPr>
    </w:p>
    <w:p w14:paraId="30595448" w14:textId="77777777" w:rsidR="00E311C9" w:rsidRDefault="007D3356" w:rsidP="00F11BF7">
      <w:pPr>
        <w:pStyle w:val="lid"/>
        <w:numPr>
          <w:ilvl w:val="0"/>
          <w:numId w:val="8"/>
        </w:numPr>
        <w:shd w:val="clear" w:color="auto" w:fill="FFFFFF"/>
        <w:spacing w:before="0" w:beforeAutospacing="0" w:after="0" w:afterAutospacing="0" w:line="260" w:lineRule="atLeast"/>
        <w:rPr>
          <w:rFonts w:ascii="Verdana" w:hAnsi="Verdana"/>
          <w:sz w:val="18"/>
          <w:szCs w:val="18"/>
          <w:lang w:val="nl-NL" w:eastAsia="nl-NL"/>
        </w:rPr>
      </w:pPr>
      <w:r w:rsidRPr="00E311C9">
        <w:rPr>
          <w:rFonts w:ascii="Verdana" w:hAnsi="Verdana"/>
          <w:sz w:val="18"/>
          <w:szCs w:val="18"/>
          <w:lang w:val="nl-NL" w:eastAsia="nl-NL"/>
        </w:rPr>
        <w:t xml:space="preserve">De bank biedt de diensten, bedoeld in het derde lid, kosteloos of </w:t>
      </w:r>
      <w:r w:rsidR="00101E04">
        <w:rPr>
          <w:rFonts w:ascii="Verdana" w:hAnsi="Verdana"/>
          <w:sz w:val="18"/>
          <w:szCs w:val="18"/>
          <w:lang w:val="nl-NL" w:eastAsia="nl-NL"/>
        </w:rPr>
        <w:t>tegen een maximaal door Ministeriele regeling bepaalde bedrag.</w:t>
      </w:r>
    </w:p>
    <w:p w14:paraId="6E03151C" w14:textId="77777777" w:rsidR="00101E04" w:rsidRDefault="00101E04" w:rsidP="00F11BF7">
      <w:pPr>
        <w:pStyle w:val="lid"/>
        <w:shd w:val="clear" w:color="auto" w:fill="FFFFFF"/>
        <w:spacing w:before="0" w:beforeAutospacing="0" w:after="0" w:afterAutospacing="0" w:line="260" w:lineRule="atLeast"/>
        <w:ind w:left="360"/>
        <w:rPr>
          <w:rFonts w:ascii="Verdana" w:hAnsi="Verdana"/>
          <w:sz w:val="18"/>
          <w:szCs w:val="18"/>
          <w:lang w:val="nl-NL" w:eastAsia="nl-NL"/>
        </w:rPr>
      </w:pPr>
    </w:p>
    <w:p w14:paraId="074DD3E7" w14:textId="77777777" w:rsidR="007D3356" w:rsidRPr="00E311C9" w:rsidRDefault="007D3356" w:rsidP="00F11BF7">
      <w:pPr>
        <w:pStyle w:val="lid"/>
        <w:numPr>
          <w:ilvl w:val="0"/>
          <w:numId w:val="8"/>
        </w:numPr>
        <w:shd w:val="clear" w:color="auto" w:fill="FFFFFF"/>
        <w:spacing w:before="0" w:beforeAutospacing="0" w:after="0" w:afterAutospacing="0" w:line="260" w:lineRule="atLeast"/>
        <w:rPr>
          <w:rFonts w:ascii="Verdana" w:hAnsi="Verdana"/>
          <w:sz w:val="18"/>
          <w:szCs w:val="18"/>
          <w:lang w:val="nl-NL" w:eastAsia="nl-NL"/>
        </w:rPr>
      </w:pPr>
      <w:r w:rsidRPr="00E311C9">
        <w:rPr>
          <w:rFonts w:ascii="Verdana" w:hAnsi="Verdana"/>
          <w:sz w:val="18"/>
          <w:szCs w:val="18"/>
          <w:lang w:val="nl-NL" w:eastAsia="nl-NL"/>
        </w:rPr>
        <w:t>Het is een bank als bedoeld in het eerste lid niet toegestaan om basisbetaalrekeningen uitsluitend via internet aan te bieden.</w:t>
      </w:r>
    </w:p>
    <w:p w14:paraId="4FC6FACA" w14:textId="77777777" w:rsidR="007D3356" w:rsidRDefault="007D3356" w:rsidP="00F11BF7">
      <w:pPr>
        <w:spacing w:line="260" w:lineRule="atLeast"/>
        <w:jc w:val="center"/>
        <w:rPr>
          <w:rFonts w:ascii="Verdana" w:hAnsi="Verdana"/>
          <w:b/>
          <w:sz w:val="18"/>
          <w:szCs w:val="18"/>
        </w:rPr>
      </w:pPr>
    </w:p>
    <w:p w14:paraId="1F90083A" w14:textId="44BA97C5" w:rsidR="00DC761E" w:rsidRDefault="00DC761E" w:rsidP="00F11BF7">
      <w:pPr>
        <w:spacing w:line="260" w:lineRule="atLeast"/>
        <w:rPr>
          <w:rFonts w:ascii="Verdana" w:hAnsi="Verdana"/>
          <w:b/>
          <w:sz w:val="18"/>
          <w:szCs w:val="18"/>
        </w:rPr>
      </w:pPr>
      <w:r>
        <w:rPr>
          <w:rFonts w:ascii="Verdana" w:hAnsi="Verdana"/>
          <w:b/>
          <w:sz w:val="18"/>
          <w:szCs w:val="18"/>
        </w:rPr>
        <w:t xml:space="preserve">Artikel </w:t>
      </w:r>
      <w:r w:rsidR="005A0A5A">
        <w:rPr>
          <w:rFonts w:ascii="Verdana" w:hAnsi="Verdana"/>
          <w:b/>
          <w:sz w:val="18"/>
          <w:szCs w:val="18"/>
        </w:rPr>
        <w:t>3</w:t>
      </w:r>
      <w:r w:rsidR="00505FC0">
        <w:rPr>
          <w:rFonts w:ascii="Verdana" w:hAnsi="Verdana"/>
          <w:b/>
          <w:sz w:val="18"/>
          <w:szCs w:val="18"/>
        </w:rPr>
        <w:t xml:space="preserve"> – </w:t>
      </w:r>
      <w:r w:rsidR="0056006D">
        <w:rPr>
          <w:rFonts w:ascii="Verdana" w:hAnsi="Verdana"/>
          <w:b/>
          <w:sz w:val="18"/>
          <w:szCs w:val="18"/>
        </w:rPr>
        <w:t>Grondslag to</w:t>
      </w:r>
      <w:r w:rsidR="00165C4D">
        <w:rPr>
          <w:rFonts w:ascii="Verdana" w:hAnsi="Verdana"/>
          <w:b/>
          <w:sz w:val="18"/>
          <w:szCs w:val="18"/>
        </w:rPr>
        <w:t>t</w:t>
      </w:r>
      <w:r w:rsidR="0056006D">
        <w:rPr>
          <w:rFonts w:ascii="Verdana" w:hAnsi="Verdana"/>
          <w:b/>
          <w:sz w:val="18"/>
          <w:szCs w:val="18"/>
        </w:rPr>
        <w:t xml:space="preserve"> weiger</w:t>
      </w:r>
      <w:r w:rsidR="009B3D2C">
        <w:rPr>
          <w:rFonts w:ascii="Verdana" w:hAnsi="Verdana"/>
          <w:b/>
          <w:sz w:val="18"/>
          <w:szCs w:val="18"/>
        </w:rPr>
        <w:t>ing</w:t>
      </w:r>
    </w:p>
    <w:p w14:paraId="739861AC" w14:textId="77777777" w:rsidR="00505FC0" w:rsidRDefault="00505FC0" w:rsidP="00F11BF7">
      <w:pPr>
        <w:spacing w:line="260" w:lineRule="atLeast"/>
        <w:jc w:val="center"/>
        <w:rPr>
          <w:rFonts w:ascii="Verdana" w:hAnsi="Verdana"/>
          <w:b/>
          <w:sz w:val="18"/>
          <w:szCs w:val="18"/>
        </w:rPr>
      </w:pPr>
    </w:p>
    <w:p w14:paraId="37E80410" w14:textId="6605EC6A" w:rsidR="00505FC0" w:rsidRDefault="00505FC0" w:rsidP="00F11BF7">
      <w:pPr>
        <w:pStyle w:val="ListParagraph"/>
        <w:numPr>
          <w:ilvl w:val="0"/>
          <w:numId w:val="12"/>
        </w:numPr>
        <w:shd w:val="clear" w:color="auto" w:fill="FFFFFF"/>
        <w:spacing w:line="260" w:lineRule="atLeast"/>
        <w:rPr>
          <w:rFonts w:ascii="Verdana" w:hAnsi="Verdana"/>
          <w:sz w:val="18"/>
          <w:szCs w:val="18"/>
        </w:rPr>
      </w:pPr>
      <w:r w:rsidRPr="00505FC0">
        <w:rPr>
          <w:rFonts w:ascii="Verdana" w:hAnsi="Verdana"/>
          <w:sz w:val="18"/>
          <w:szCs w:val="18"/>
        </w:rPr>
        <w:t>Een bank weigert een basisbetaalrekening te openen, indien de bank bij het openen daarvan niet kan voldoen aan de bij of krachtens </w:t>
      </w:r>
      <w:hyperlink r:id="rId12" w:history="1">
        <w:r w:rsidR="00313564">
          <w:rPr>
            <w:rFonts w:ascii="Verdana" w:hAnsi="Verdana"/>
            <w:sz w:val="18"/>
            <w:szCs w:val="18"/>
          </w:rPr>
          <w:t>Landsverordening v</w:t>
        </w:r>
        <w:r w:rsidRPr="00505FC0">
          <w:rPr>
            <w:rFonts w:ascii="Verdana" w:hAnsi="Verdana"/>
            <w:sz w:val="18"/>
            <w:szCs w:val="18"/>
          </w:rPr>
          <w:t>oorkoming van witwassen en financieren van terrorisme</w:t>
        </w:r>
      </w:hyperlink>
      <w:r w:rsidRPr="00505FC0">
        <w:rPr>
          <w:rFonts w:ascii="Verdana" w:hAnsi="Verdana"/>
          <w:sz w:val="18"/>
          <w:szCs w:val="18"/>
        </w:rPr>
        <w:t> gestelde eisen.</w:t>
      </w:r>
      <w:r w:rsidR="00BD53D1">
        <w:rPr>
          <w:rFonts w:ascii="Verdana" w:hAnsi="Verdana"/>
          <w:sz w:val="18"/>
          <w:szCs w:val="18"/>
        </w:rPr>
        <w:t xml:space="preserve"> </w:t>
      </w:r>
    </w:p>
    <w:p w14:paraId="5AF0A7F6" w14:textId="77777777" w:rsidR="00505FC0" w:rsidRPr="00505FC0" w:rsidRDefault="00505FC0" w:rsidP="00F11BF7">
      <w:pPr>
        <w:pStyle w:val="ListParagraph"/>
        <w:shd w:val="clear" w:color="auto" w:fill="FFFFFF"/>
        <w:spacing w:line="260" w:lineRule="atLeast"/>
        <w:ind w:left="360"/>
        <w:rPr>
          <w:rFonts w:ascii="Verdana" w:hAnsi="Verdana"/>
          <w:sz w:val="18"/>
          <w:szCs w:val="18"/>
        </w:rPr>
      </w:pPr>
    </w:p>
    <w:p w14:paraId="5D687383" w14:textId="02A8CB0A" w:rsidR="00BD53D1" w:rsidRDefault="00505FC0" w:rsidP="00F11BF7">
      <w:pPr>
        <w:pStyle w:val="ListParagraph"/>
        <w:numPr>
          <w:ilvl w:val="0"/>
          <w:numId w:val="12"/>
        </w:numPr>
        <w:shd w:val="clear" w:color="auto" w:fill="FFFFFF"/>
        <w:spacing w:line="260" w:lineRule="atLeast"/>
        <w:rPr>
          <w:rFonts w:ascii="Verdana" w:hAnsi="Verdana"/>
          <w:sz w:val="18"/>
          <w:szCs w:val="18"/>
          <w:lang w:eastAsia="nl-NL"/>
        </w:rPr>
      </w:pPr>
      <w:r w:rsidRPr="00BD53D1">
        <w:rPr>
          <w:rFonts w:ascii="Verdana" w:hAnsi="Verdana"/>
          <w:sz w:val="18"/>
          <w:szCs w:val="18"/>
        </w:rPr>
        <w:lastRenderedPageBreak/>
        <w:t>Een bank mag voorts het openen van een basisbetaalrekening weigeren indien de aanvrager</w:t>
      </w:r>
      <w:r w:rsidR="00CB1A59">
        <w:rPr>
          <w:rFonts w:ascii="Verdana" w:hAnsi="Verdana"/>
          <w:sz w:val="18"/>
          <w:szCs w:val="18"/>
        </w:rPr>
        <w:t xml:space="preserve">: </w:t>
      </w:r>
    </w:p>
    <w:p w14:paraId="0B245F0E" w14:textId="77777777" w:rsidR="00BD53D1" w:rsidRPr="00BD53D1" w:rsidRDefault="00BD53D1" w:rsidP="00F11BF7">
      <w:pPr>
        <w:pStyle w:val="ListParagraph"/>
        <w:spacing w:line="260" w:lineRule="atLeast"/>
        <w:rPr>
          <w:rFonts w:ascii="Verdana" w:hAnsi="Verdana"/>
          <w:sz w:val="18"/>
          <w:szCs w:val="18"/>
          <w:lang w:eastAsia="nl-NL"/>
        </w:rPr>
      </w:pPr>
    </w:p>
    <w:p w14:paraId="0D5F563C" w14:textId="7AFAFA95" w:rsidR="00BD53D1" w:rsidRDefault="00505FC0" w:rsidP="00F11BF7">
      <w:pPr>
        <w:pStyle w:val="ListParagraph"/>
        <w:numPr>
          <w:ilvl w:val="1"/>
          <w:numId w:val="12"/>
        </w:numPr>
        <w:shd w:val="clear" w:color="auto" w:fill="FFFFFF"/>
        <w:spacing w:line="260" w:lineRule="atLeast"/>
        <w:rPr>
          <w:rFonts w:ascii="Verdana" w:hAnsi="Verdana"/>
          <w:sz w:val="18"/>
          <w:szCs w:val="18"/>
          <w:lang w:eastAsia="nl-NL"/>
        </w:rPr>
      </w:pPr>
      <w:r w:rsidRPr="00BD53D1">
        <w:rPr>
          <w:rFonts w:ascii="Verdana" w:hAnsi="Verdana"/>
          <w:sz w:val="18"/>
          <w:szCs w:val="18"/>
          <w:lang w:eastAsia="nl-NL"/>
        </w:rPr>
        <w:t xml:space="preserve">bij een in </w:t>
      </w:r>
      <w:r w:rsidR="00F80C3F">
        <w:rPr>
          <w:rFonts w:ascii="Verdana" w:hAnsi="Verdana"/>
          <w:sz w:val="18"/>
          <w:szCs w:val="18"/>
          <w:lang w:eastAsia="nl-NL"/>
        </w:rPr>
        <w:t xml:space="preserve">St. Maarten </w:t>
      </w:r>
      <w:r w:rsidRPr="00BD53D1">
        <w:rPr>
          <w:rFonts w:ascii="Verdana" w:hAnsi="Verdana"/>
          <w:sz w:val="18"/>
          <w:szCs w:val="18"/>
          <w:lang w:eastAsia="nl-NL"/>
        </w:rPr>
        <w:t xml:space="preserve">gevestigde bank een aanvraag voor een basisbetaalrekening heeft lopen of reeds een betaalrekening aanhoudt bij een andere in </w:t>
      </w:r>
      <w:r w:rsidR="00F80C3F">
        <w:rPr>
          <w:rFonts w:ascii="Verdana" w:hAnsi="Verdana"/>
          <w:sz w:val="18"/>
          <w:szCs w:val="18"/>
          <w:lang w:eastAsia="nl-NL"/>
        </w:rPr>
        <w:t>St. Maarten</w:t>
      </w:r>
      <w:r w:rsidRPr="00BD53D1">
        <w:rPr>
          <w:rFonts w:ascii="Verdana" w:hAnsi="Verdana"/>
          <w:sz w:val="18"/>
          <w:szCs w:val="18"/>
          <w:lang w:eastAsia="nl-NL"/>
        </w:rPr>
        <w:t xml:space="preserve"> gevestigde bank, waarmee hij gebruik kan maken van de diensten</w:t>
      </w:r>
      <w:r w:rsidR="00753BED">
        <w:rPr>
          <w:rFonts w:ascii="Verdana" w:hAnsi="Verdana"/>
          <w:sz w:val="18"/>
          <w:szCs w:val="18"/>
          <w:lang w:eastAsia="nl-NL"/>
        </w:rPr>
        <w:t xml:space="preserve"> als</w:t>
      </w:r>
      <w:r w:rsidRPr="00BD53D1">
        <w:rPr>
          <w:rFonts w:ascii="Verdana" w:hAnsi="Verdana"/>
          <w:sz w:val="18"/>
          <w:szCs w:val="18"/>
          <w:lang w:eastAsia="nl-NL"/>
        </w:rPr>
        <w:t xml:space="preserve"> genoemd in </w:t>
      </w:r>
      <w:r w:rsidR="006A58BC">
        <w:rPr>
          <w:rFonts w:ascii="Verdana" w:hAnsi="Verdana"/>
          <w:sz w:val="18"/>
          <w:szCs w:val="18"/>
          <w:lang w:eastAsia="nl-NL"/>
        </w:rPr>
        <w:t xml:space="preserve">artikel </w:t>
      </w:r>
      <w:r w:rsidR="00753BED">
        <w:rPr>
          <w:rFonts w:ascii="Verdana" w:hAnsi="Verdana"/>
          <w:sz w:val="18"/>
          <w:szCs w:val="18"/>
          <w:lang w:eastAsia="nl-NL"/>
        </w:rPr>
        <w:t>2</w:t>
      </w:r>
      <w:r w:rsidR="006A58BC">
        <w:rPr>
          <w:rFonts w:ascii="Verdana" w:hAnsi="Verdana"/>
          <w:sz w:val="18"/>
          <w:szCs w:val="18"/>
          <w:lang w:eastAsia="nl-NL"/>
        </w:rPr>
        <w:t>,</w:t>
      </w:r>
      <w:r w:rsidR="00753BED">
        <w:rPr>
          <w:rFonts w:ascii="Verdana" w:hAnsi="Verdana"/>
          <w:sz w:val="18"/>
          <w:szCs w:val="18"/>
          <w:lang w:eastAsia="nl-NL"/>
        </w:rPr>
        <w:t xml:space="preserve"> lid 3, </w:t>
      </w:r>
      <w:r w:rsidRPr="00BD53D1">
        <w:rPr>
          <w:rFonts w:ascii="Verdana" w:hAnsi="Verdana"/>
          <w:sz w:val="18"/>
          <w:szCs w:val="18"/>
          <w:lang w:eastAsia="nl-NL"/>
        </w:rPr>
        <w:t>tenzij de aanvrager verklaart ervan in kennis te zijn gesteld dat die betaalrekening zal worden opgeheven;</w:t>
      </w:r>
    </w:p>
    <w:p w14:paraId="1D7BED7A" w14:textId="612FD863" w:rsidR="00BD53D1" w:rsidRDefault="00505FC0" w:rsidP="00F11BF7">
      <w:pPr>
        <w:pStyle w:val="ListParagraph"/>
        <w:numPr>
          <w:ilvl w:val="1"/>
          <w:numId w:val="12"/>
        </w:numPr>
        <w:shd w:val="clear" w:color="auto" w:fill="FFFFFF"/>
        <w:spacing w:line="260" w:lineRule="atLeast"/>
        <w:rPr>
          <w:rFonts w:ascii="Verdana" w:hAnsi="Verdana"/>
          <w:sz w:val="18"/>
          <w:szCs w:val="18"/>
          <w:lang w:eastAsia="nl-NL"/>
        </w:rPr>
      </w:pPr>
      <w:r w:rsidRPr="00505FC0">
        <w:rPr>
          <w:rFonts w:ascii="Verdana" w:hAnsi="Verdana"/>
          <w:sz w:val="18"/>
          <w:szCs w:val="18"/>
          <w:lang w:eastAsia="nl-NL"/>
        </w:rPr>
        <w:t xml:space="preserve">minder dan </w:t>
      </w:r>
      <w:r w:rsidR="00D46FF1">
        <w:rPr>
          <w:rFonts w:ascii="Verdana" w:hAnsi="Verdana"/>
          <w:sz w:val="18"/>
          <w:szCs w:val="18"/>
          <w:lang w:eastAsia="nl-NL"/>
        </w:rPr>
        <w:t>TWEE</w:t>
      </w:r>
      <w:r w:rsidR="00F80C3F">
        <w:rPr>
          <w:rFonts w:ascii="Verdana" w:hAnsi="Verdana"/>
          <w:sz w:val="18"/>
          <w:szCs w:val="18"/>
          <w:lang w:eastAsia="nl-NL"/>
        </w:rPr>
        <w:t xml:space="preserve"> </w:t>
      </w:r>
      <w:r w:rsidRPr="00505FC0">
        <w:rPr>
          <w:rFonts w:ascii="Verdana" w:hAnsi="Verdana"/>
          <w:sz w:val="18"/>
          <w:szCs w:val="18"/>
          <w:lang w:eastAsia="nl-NL"/>
        </w:rPr>
        <w:t>jaar geleden onherroepelijk is veroordeeld voor een misdrijf als bedoeld in de </w:t>
      </w:r>
      <w:hyperlink r:id="rId13" w:history="1">
        <w:r w:rsidRPr="00505FC0">
          <w:rPr>
            <w:rFonts w:ascii="Verdana" w:hAnsi="Verdana"/>
            <w:sz w:val="18"/>
            <w:szCs w:val="18"/>
            <w:lang w:eastAsia="nl-NL"/>
          </w:rPr>
          <w:t xml:space="preserve">artikelen </w:t>
        </w:r>
        <w:r w:rsidR="005B17AF">
          <w:rPr>
            <w:rFonts w:ascii="Verdana" w:hAnsi="Verdana"/>
            <w:sz w:val="18"/>
            <w:szCs w:val="18"/>
            <w:lang w:eastAsia="nl-NL"/>
          </w:rPr>
          <w:t>2:184</w:t>
        </w:r>
      </w:hyperlink>
      <w:r w:rsidRPr="00505FC0">
        <w:rPr>
          <w:rFonts w:ascii="Verdana" w:hAnsi="Verdana"/>
          <w:sz w:val="18"/>
          <w:szCs w:val="18"/>
          <w:lang w:eastAsia="nl-NL"/>
        </w:rPr>
        <w:t>, </w:t>
      </w:r>
      <w:hyperlink r:id="rId14" w:history="1">
        <w:r w:rsidR="00CA488B">
          <w:rPr>
            <w:rFonts w:ascii="Verdana" w:hAnsi="Verdana"/>
            <w:sz w:val="18"/>
            <w:szCs w:val="18"/>
            <w:lang w:eastAsia="nl-NL"/>
          </w:rPr>
          <w:t>2:187</w:t>
        </w:r>
      </w:hyperlink>
      <w:r w:rsidRPr="00505FC0">
        <w:rPr>
          <w:rFonts w:ascii="Verdana" w:hAnsi="Verdana"/>
          <w:sz w:val="18"/>
          <w:szCs w:val="18"/>
          <w:lang w:eastAsia="nl-NL"/>
        </w:rPr>
        <w:t>, </w:t>
      </w:r>
      <w:hyperlink r:id="rId15" w:history="1">
        <w:r w:rsidR="00E122DD">
          <w:rPr>
            <w:rFonts w:ascii="Verdana" w:hAnsi="Verdana"/>
            <w:sz w:val="18"/>
            <w:szCs w:val="18"/>
            <w:lang w:eastAsia="nl-NL"/>
          </w:rPr>
          <w:t>2:305</w:t>
        </w:r>
      </w:hyperlink>
      <w:r w:rsidRPr="00505FC0">
        <w:rPr>
          <w:rFonts w:ascii="Verdana" w:hAnsi="Verdana"/>
          <w:sz w:val="18"/>
          <w:szCs w:val="18"/>
          <w:lang w:eastAsia="nl-NL"/>
        </w:rPr>
        <w:t>, </w:t>
      </w:r>
      <w:hyperlink r:id="rId16" w:history="1">
        <w:r w:rsidR="00DC42B8">
          <w:rPr>
            <w:rFonts w:ascii="Verdana" w:hAnsi="Verdana"/>
            <w:sz w:val="18"/>
            <w:szCs w:val="18"/>
            <w:lang w:eastAsia="nl-NL"/>
          </w:rPr>
          <w:t>2:328</w:t>
        </w:r>
      </w:hyperlink>
      <w:r w:rsidRPr="00505FC0">
        <w:rPr>
          <w:rFonts w:ascii="Verdana" w:hAnsi="Verdana"/>
          <w:sz w:val="18"/>
          <w:szCs w:val="18"/>
          <w:lang w:eastAsia="nl-NL"/>
        </w:rPr>
        <w:t>, </w:t>
      </w:r>
      <w:hyperlink r:id="rId17" w:history="1">
        <w:r w:rsidR="009627BD">
          <w:rPr>
            <w:rFonts w:ascii="Verdana" w:hAnsi="Verdana"/>
            <w:sz w:val="18"/>
            <w:szCs w:val="18"/>
            <w:lang w:eastAsia="nl-NL"/>
          </w:rPr>
          <w:t>2:404</w:t>
        </w:r>
      </w:hyperlink>
      <w:r w:rsidRPr="00505FC0">
        <w:rPr>
          <w:rFonts w:ascii="Verdana" w:hAnsi="Verdana"/>
          <w:sz w:val="18"/>
          <w:szCs w:val="18"/>
          <w:lang w:eastAsia="nl-NL"/>
        </w:rPr>
        <w:t> of </w:t>
      </w:r>
      <w:hyperlink r:id="rId18" w:history="1">
        <w:r w:rsidR="007865E9">
          <w:rPr>
            <w:rFonts w:ascii="Verdana" w:hAnsi="Verdana"/>
            <w:sz w:val="18"/>
            <w:szCs w:val="18"/>
            <w:lang w:eastAsia="nl-NL"/>
          </w:rPr>
          <w:t>2:405</w:t>
        </w:r>
        <w:r w:rsidRPr="00505FC0">
          <w:rPr>
            <w:rFonts w:ascii="Verdana" w:hAnsi="Verdana"/>
            <w:sz w:val="18"/>
            <w:szCs w:val="18"/>
            <w:lang w:eastAsia="nl-NL"/>
          </w:rPr>
          <w:t xml:space="preserve"> van het Wetboek van strafrecht</w:t>
        </w:r>
      </w:hyperlink>
    </w:p>
    <w:p w14:paraId="36522535" w14:textId="1E5111C9" w:rsidR="00BD53D1" w:rsidRDefault="00505FC0" w:rsidP="00F11BF7">
      <w:pPr>
        <w:pStyle w:val="ListParagraph"/>
        <w:numPr>
          <w:ilvl w:val="1"/>
          <w:numId w:val="12"/>
        </w:numPr>
        <w:shd w:val="clear" w:color="auto" w:fill="FFFFFF"/>
        <w:spacing w:line="260" w:lineRule="atLeast"/>
        <w:rPr>
          <w:rFonts w:ascii="Verdana" w:hAnsi="Verdana"/>
          <w:sz w:val="18"/>
          <w:szCs w:val="18"/>
          <w:lang w:eastAsia="nl-NL"/>
        </w:rPr>
      </w:pPr>
      <w:r w:rsidRPr="00505FC0">
        <w:rPr>
          <w:rFonts w:ascii="Verdana" w:hAnsi="Verdana"/>
          <w:sz w:val="18"/>
          <w:szCs w:val="18"/>
          <w:lang w:eastAsia="nl-NL"/>
        </w:rPr>
        <w:t>een basisbetaalrekening had die op grond van </w:t>
      </w:r>
      <w:r w:rsidR="007D698C" w:rsidRPr="007D698C">
        <w:rPr>
          <w:rFonts w:ascii="Verdana" w:hAnsi="Verdana"/>
          <w:sz w:val="18"/>
          <w:szCs w:val="18"/>
          <w:lang w:eastAsia="nl-NL"/>
        </w:rPr>
        <w:t xml:space="preserve">artikel 4, lid 4, </w:t>
      </w:r>
      <w:r w:rsidRPr="00505FC0">
        <w:rPr>
          <w:rFonts w:ascii="Verdana" w:hAnsi="Verdana"/>
          <w:sz w:val="18"/>
          <w:szCs w:val="18"/>
          <w:lang w:eastAsia="nl-NL"/>
        </w:rPr>
        <w:t>minder dan twee jaar geleden is beëindigd; of</w:t>
      </w:r>
    </w:p>
    <w:p w14:paraId="086A2B76" w14:textId="77777777" w:rsidR="00BD53D1" w:rsidRDefault="00505FC0" w:rsidP="00F11BF7">
      <w:pPr>
        <w:pStyle w:val="ListParagraph"/>
        <w:numPr>
          <w:ilvl w:val="1"/>
          <w:numId w:val="12"/>
        </w:numPr>
        <w:shd w:val="clear" w:color="auto" w:fill="FFFFFF"/>
        <w:spacing w:line="260" w:lineRule="atLeast"/>
        <w:rPr>
          <w:rFonts w:ascii="Verdana" w:hAnsi="Verdana"/>
          <w:sz w:val="18"/>
          <w:szCs w:val="18"/>
          <w:lang w:eastAsia="nl-NL"/>
        </w:rPr>
      </w:pPr>
      <w:r w:rsidRPr="00505FC0">
        <w:rPr>
          <w:rFonts w:ascii="Verdana" w:hAnsi="Verdana"/>
          <w:sz w:val="18"/>
          <w:szCs w:val="18"/>
          <w:lang w:eastAsia="nl-NL"/>
        </w:rPr>
        <w:t>weigert om desgevraagd de in het derde lid bedoelde verklaring te ondertekenen.</w:t>
      </w:r>
    </w:p>
    <w:p w14:paraId="6C121319" w14:textId="77777777" w:rsidR="00BD53D1" w:rsidRDefault="00BD53D1" w:rsidP="00F11BF7">
      <w:pPr>
        <w:pStyle w:val="ListParagraph"/>
        <w:shd w:val="clear" w:color="auto" w:fill="FFFFFF"/>
        <w:spacing w:line="260" w:lineRule="atLeast"/>
        <w:ind w:left="1080"/>
        <w:rPr>
          <w:rFonts w:ascii="Verdana" w:hAnsi="Verdana"/>
          <w:sz w:val="18"/>
          <w:szCs w:val="18"/>
          <w:lang w:eastAsia="nl-NL"/>
        </w:rPr>
      </w:pPr>
    </w:p>
    <w:p w14:paraId="0C739FFE" w14:textId="77777777" w:rsidR="00505FC0" w:rsidRPr="00BD53D1" w:rsidRDefault="00505FC0" w:rsidP="00F11BF7">
      <w:pPr>
        <w:pStyle w:val="ListParagraph"/>
        <w:numPr>
          <w:ilvl w:val="0"/>
          <w:numId w:val="12"/>
        </w:numPr>
        <w:shd w:val="clear" w:color="auto" w:fill="FFFFFF"/>
        <w:spacing w:line="260" w:lineRule="atLeast"/>
        <w:rPr>
          <w:rFonts w:ascii="Verdana" w:hAnsi="Verdana"/>
          <w:sz w:val="18"/>
          <w:szCs w:val="18"/>
          <w:lang w:eastAsia="nl-NL"/>
        </w:rPr>
      </w:pPr>
      <w:r w:rsidRPr="00BD53D1">
        <w:rPr>
          <w:rFonts w:ascii="Verdana" w:hAnsi="Verdana"/>
          <w:sz w:val="18"/>
          <w:szCs w:val="18"/>
          <w:lang w:eastAsia="nl-NL"/>
        </w:rPr>
        <w:t xml:space="preserve">Het is de bank toegestaan om, alvorens een basisbetaalrekening te openen, bij andere in </w:t>
      </w:r>
      <w:r w:rsidR="00BD53D1">
        <w:rPr>
          <w:rFonts w:ascii="Verdana" w:hAnsi="Verdana"/>
          <w:sz w:val="18"/>
          <w:szCs w:val="18"/>
          <w:lang w:eastAsia="nl-NL"/>
        </w:rPr>
        <w:t xml:space="preserve">St. Maarten </w:t>
      </w:r>
      <w:r w:rsidRPr="00BD53D1">
        <w:rPr>
          <w:rFonts w:ascii="Verdana" w:hAnsi="Verdana"/>
          <w:sz w:val="18"/>
          <w:szCs w:val="18"/>
          <w:lang w:eastAsia="nl-NL"/>
        </w:rPr>
        <w:t xml:space="preserve">gevestigde banken na te gaan of de aanvrager aldaar reeds een betaalrekening aanhoudt of heeft aangevraagd. De bank mag de aanvrager verzoeken om een verklaring te ondertekenen waaruit blijkt dat hij geen andere betaalrekening aanhoudt of heeft aangevraagd bij een in </w:t>
      </w:r>
      <w:r w:rsidR="00313564">
        <w:rPr>
          <w:rFonts w:ascii="Verdana" w:hAnsi="Verdana"/>
          <w:sz w:val="18"/>
          <w:szCs w:val="18"/>
          <w:lang w:eastAsia="nl-NL"/>
        </w:rPr>
        <w:t>St. Maarten</w:t>
      </w:r>
      <w:r w:rsidRPr="00BD53D1">
        <w:rPr>
          <w:rFonts w:ascii="Verdana" w:hAnsi="Verdana"/>
          <w:sz w:val="18"/>
          <w:szCs w:val="18"/>
          <w:lang w:eastAsia="nl-NL"/>
        </w:rPr>
        <w:t xml:space="preserve"> gevestigde bank.</w:t>
      </w:r>
    </w:p>
    <w:p w14:paraId="4ACD9B21" w14:textId="77777777" w:rsidR="00505FC0" w:rsidRPr="009E2788" w:rsidRDefault="00505FC0" w:rsidP="00F11BF7">
      <w:pPr>
        <w:spacing w:line="260" w:lineRule="atLeast"/>
        <w:jc w:val="center"/>
        <w:rPr>
          <w:rFonts w:ascii="Verdana" w:hAnsi="Verdana"/>
          <w:b/>
          <w:sz w:val="18"/>
          <w:szCs w:val="18"/>
        </w:rPr>
      </w:pPr>
    </w:p>
    <w:p w14:paraId="4CC5223F" w14:textId="14503786" w:rsidR="00313564" w:rsidRPr="00313564" w:rsidRDefault="00313564" w:rsidP="00F11BF7">
      <w:pPr>
        <w:numPr>
          <w:ilvl w:val="0"/>
          <w:numId w:val="12"/>
        </w:numPr>
        <w:shd w:val="clear" w:color="auto" w:fill="FFFFFF"/>
        <w:spacing w:after="240" w:line="260" w:lineRule="atLeast"/>
        <w:rPr>
          <w:rFonts w:ascii="Verdana" w:hAnsi="Verdana"/>
          <w:sz w:val="18"/>
          <w:szCs w:val="18"/>
        </w:rPr>
      </w:pPr>
      <w:r w:rsidRPr="00313564">
        <w:rPr>
          <w:rFonts w:ascii="Verdana" w:hAnsi="Verdana"/>
          <w:sz w:val="18"/>
          <w:szCs w:val="18"/>
        </w:rPr>
        <w:t xml:space="preserve">Binnen </w:t>
      </w:r>
      <w:r w:rsidR="003A2E36">
        <w:rPr>
          <w:rFonts w:ascii="Verdana" w:hAnsi="Verdana"/>
          <w:sz w:val="18"/>
          <w:szCs w:val="18"/>
        </w:rPr>
        <w:t>vijf</w:t>
      </w:r>
      <w:r w:rsidRPr="00313564">
        <w:rPr>
          <w:rFonts w:ascii="Verdana" w:hAnsi="Verdana"/>
          <w:sz w:val="18"/>
          <w:szCs w:val="18"/>
        </w:rPr>
        <w:t>tien werkdagen na ontvangst van de volledige aanvraag informeert de bank de aanvrager over de weigering een basisbetaalrekening te openen.</w:t>
      </w:r>
    </w:p>
    <w:p w14:paraId="41BF9BE2" w14:textId="77777777" w:rsidR="00313564" w:rsidRPr="00313564" w:rsidRDefault="00313564" w:rsidP="00F11BF7">
      <w:pPr>
        <w:numPr>
          <w:ilvl w:val="0"/>
          <w:numId w:val="12"/>
        </w:numPr>
        <w:shd w:val="clear" w:color="auto" w:fill="FFFFFF"/>
        <w:spacing w:after="240" w:line="260" w:lineRule="atLeast"/>
        <w:rPr>
          <w:rFonts w:ascii="Verdana" w:hAnsi="Verdana"/>
          <w:sz w:val="18"/>
          <w:szCs w:val="18"/>
        </w:rPr>
      </w:pPr>
      <w:r w:rsidRPr="00313564">
        <w:rPr>
          <w:rFonts w:ascii="Verdana" w:hAnsi="Verdana"/>
          <w:sz w:val="18"/>
          <w:szCs w:val="18"/>
        </w:rPr>
        <w:t>De weigering, bedoeld in het eerste lid, geschiedt schriftelijk en kosteloos, en onder opgaaf van redenen, tenzij dit laatste in strijd zou zijn met de </w:t>
      </w:r>
      <w:hyperlink r:id="rId19" w:history="1">
        <w:r w:rsidRPr="00CA7070">
          <w:rPr>
            <w:rFonts w:ascii="Verdana" w:hAnsi="Verdana"/>
            <w:sz w:val="18"/>
            <w:szCs w:val="18"/>
          </w:rPr>
          <w:t>Wet ter voorkoming van witwassen en financieren van terrorisme</w:t>
        </w:r>
      </w:hyperlink>
      <w:r w:rsidRPr="00313564">
        <w:rPr>
          <w:rFonts w:ascii="Verdana" w:hAnsi="Verdana"/>
          <w:sz w:val="18"/>
          <w:szCs w:val="18"/>
        </w:rPr>
        <w:t> of met de nationale veiligheid of de openbare orde.</w:t>
      </w:r>
    </w:p>
    <w:p w14:paraId="6ECC1480" w14:textId="77777777" w:rsidR="00313564" w:rsidRPr="00313564" w:rsidRDefault="00313564" w:rsidP="00F11BF7">
      <w:pPr>
        <w:numPr>
          <w:ilvl w:val="0"/>
          <w:numId w:val="12"/>
        </w:numPr>
        <w:shd w:val="clear" w:color="auto" w:fill="FFFFFF"/>
        <w:spacing w:after="240" w:line="260" w:lineRule="atLeast"/>
        <w:rPr>
          <w:rFonts w:ascii="Verdana" w:hAnsi="Verdana"/>
          <w:sz w:val="18"/>
          <w:szCs w:val="18"/>
        </w:rPr>
      </w:pPr>
      <w:r w:rsidRPr="00313564">
        <w:rPr>
          <w:rFonts w:ascii="Verdana" w:hAnsi="Verdana"/>
          <w:sz w:val="18"/>
          <w:szCs w:val="18"/>
        </w:rPr>
        <w:t>Indien een bank weigert een basisbetaalrekening te openen, stelt de bank de aanvrager op de hoogte van:</w:t>
      </w:r>
    </w:p>
    <w:p w14:paraId="263B65D1" w14:textId="783408A1" w:rsidR="00313564" w:rsidRPr="00313564" w:rsidRDefault="00313564" w:rsidP="00F11BF7">
      <w:pPr>
        <w:numPr>
          <w:ilvl w:val="1"/>
          <w:numId w:val="16"/>
        </w:numPr>
        <w:shd w:val="clear" w:color="auto" w:fill="FFFFFF"/>
        <w:spacing w:after="240" w:line="260" w:lineRule="atLeast"/>
        <w:rPr>
          <w:rFonts w:ascii="Verdana" w:hAnsi="Verdana"/>
          <w:sz w:val="18"/>
          <w:szCs w:val="18"/>
        </w:rPr>
      </w:pPr>
      <w:r w:rsidRPr="00313564">
        <w:rPr>
          <w:rFonts w:ascii="Verdana" w:hAnsi="Verdana"/>
          <w:sz w:val="18"/>
          <w:szCs w:val="18"/>
        </w:rPr>
        <w:t>de interne klachtenprocedure, bedoeld in </w:t>
      </w:r>
      <w:hyperlink r:id="rId20" w:anchor="Titeldeel4_Hoofdstuk4.2_Afdeling4.2.2_Artikel4:17" w:history="1">
        <w:r w:rsidRPr="00CA7070">
          <w:rPr>
            <w:rFonts w:ascii="Verdana" w:hAnsi="Verdana"/>
            <w:sz w:val="18"/>
            <w:szCs w:val="18"/>
          </w:rPr>
          <w:t xml:space="preserve">artikel </w:t>
        </w:r>
        <w:r w:rsidR="00D25B96">
          <w:rPr>
            <w:rFonts w:ascii="Verdana" w:hAnsi="Verdana"/>
            <w:sz w:val="18"/>
            <w:szCs w:val="18"/>
          </w:rPr>
          <w:t>5</w:t>
        </w:r>
      </w:hyperlink>
      <w:r w:rsidRPr="00313564">
        <w:rPr>
          <w:rFonts w:ascii="Verdana" w:hAnsi="Verdana"/>
          <w:sz w:val="18"/>
          <w:szCs w:val="18"/>
        </w:rPr>
        <w:t>;</w:t>
      </w:r>
    </w:p>
    <w:p w14:paraId="4FBDCB61" w14:textId="62C6DFC0" w:rsidR="00313564" w:rsidRPr="00313564" w:rsidRDefault="00313564" w:rsidP="00F11BF7">
      <w:pPr>
        <w:numPr>
          <w:ilvl w:val="1"/>
          <w:numId w:val="16"/>
        </w:numPr>
        <w:shd w:val="clear" w:color="auto" w:fill="FFFFFF"/>
        <w:spacing w:after="240" w:line="260" w:lineRule="atLeast"/>
        <w:rPr>
          <w:rFonts w:ascii="Verdana" w:hAnsi="Verdana"/>
          <w:sz w:val="18"/>
          <w:szCs w:val="18"/>
        </w:rPr>
      </w:pPr>
      <w:r w:rsidRPr="00313564">
        <w:rPr>
          <w:rFonts w:ascii="Verdana" w:hAnsi="Verdana"/>
          <w:sz w:val="18"/>
          <w:szCs w:val="18"/>
        </w:rPr>
        <w:t xml:space="preserve">het recht van de consument om een klacht in te dienen bij de </w:t>
      </w:r>
      <w:r w:rsidR="00D25B96">
        <w:rPr>
          <w:rFonts w:ascii="Verdana" w:hAnsi="Verdana"/>
          <w:sz w:val="18"/>
          <w:szCs w:val="18"/>
        </w:rPr>
        <w:t>Bureau consument</w:t>
      </w:r>
      <w:r w:rsidR="00947F89">
        <w:rPr>
          <w:rFonts w:ascii="Verdana" w:hAnsi="Verdana"/>
          <w:sz w:val="18"/>
          <w:szCs w:val="18"/>
        </w:rPr>
        <w:t>enbescherming financiën en bankieren</w:t>
      </w:r>
    </w:p>
    <w:p w14:paraId="3F303AE1" w14:textId="0A508D1A" w:rsidR="00DC761E" w:rsidRDefault="00330C48" w:rsidP="00F11BF7">
      <w:pPr>
        <w:spacing w:line="260" w:lineRule="atLeast"/>
        <w:rPr>
          <w:rFonts w:ascii="Verdana" w:hAnsi="Verdana"/>
          <w:b/>
          <w:sz w:val="18"/>
          <w:szCs w:val="18"/>
        </w:rPr>
      </w:pPr>
      <w:r>
        <w:rPr>
          <w:rFonts w:ascii="Verdana" w:hAnsi="Verdana"/>
          <w:b/>
          <w:sz w:val="18"/>
          <w:szCs w:val="18"/>
        </w:rPr>
        <w:t>Artikel 4:</w:t>
      </w:r>
      <w:r w:rsidR="00CA7070" w:rsidRPr="00A746B5">
        <w:rPr>
          <w:rFonts w:ascii="Verdana" w:hAnsi="Verdana"/>
          <w:b/>
          <w:sz w:val="18"/>
          <w:szCs w:val="18"/>
        </w:rPr>
        <w:t xml:space="preserve"> </w:t>
      </w:r>
      <w:r w:rsidR="00A746B5" w:rsidRPr="00A746B5">
        <w:rPr>
          <w:rFonts w:ascii="Verdana" w:hAnsi="Verdana"/>
          <w:b/>
          <w:sz w:val="18"/>
          <w:szCs w:val="18"/>
        </w:rPr>
        <w:t xml:space="preserve">Bankrelatie </w:t>
      </w:r>
      <w:r w:rsidR="00BB0513">
        <w:rPr>
          <w:rFonts w:ascii="Verdana" w:hAnsi="Verdana"/>
          <w:b/>
          <w:sz w:val="18"/>
          <w:szCs w:val="18"/>
        </w:rPr>
        <w:t xml:space="preserve">beëindigen </w:t>
      </w:r>
      <w:r w:rsidR="005F4418">
        <w:rPr>
          <w:rFonts w:ascii="Verdana" w:hAnsi="Verdana"/>
          <w:b/>
          <w:sz w:val="18"/>
          <w:szCs w:val="18"/>
        </w:rPr>
        <w:t>of opschorten</w:t>
      </w:r>
    </w:p>
    <w:p w14:paraId="4F41D97D" w14:textId="77777777" w:rsidR="008A71C8" w:rsidRPr="00A746B5" w:rsidRDefault="008A71C8" w:rsidP="00F11BF7">
      <w:pPr>
        <w:spacing w:line="260" w:lineRule="atLeast"/>
        <w:rPr>
          <w:rFonts w:ascii="Verdana" w:hAnsi="Verdana"/>
          <w:sz w:val="18"/>
          <w:szCs w:val="18"/>
        </w:rPr>
      </w:pPr>
    </w:p>
    <w:p w14:paraId="384FA022" w14:textId="618C1CD0" w:rsidR="00CA7070" w:rsidRPr="00CA7070" w:rsidRDefault="00CA7070" w:rsidP="00F11BF7">
      <w:pPr>
        <w:pStyle w:val="ListParagraph"/>
        <w:numPr>
          <w:ilvl w:val="0"/>
          <w:numId w:val="22"/>
        </w:numPr>
        <w:shd w:val="clear" w:color="auto" w:fill="FFFFFF"/>
        <w:spacing w:after="240" w:line="260" w:lineRule="atLeast"/>
        <w:rPr>
          <w:rFonts w:ascii="Verdana" w:hAnsi="Verdana"/>
          <w:sz w:val="18"/>
          <w:szCs w:val="18"/>
        </w:rPr>
      </w:pPr>
      <w:r w:rsidRPr="00CA7070">
        <w:rPr>
          <w:rFonts w:ascii="Verdana" w:hAnsi="Verdana"/>
          <w:sz w:val="18"/>
          <w:szCs w:val="18"/>
        </w:rPr>
        <w:t xml:space="preserve">Een </w:t>
      </w:r>
      <w:r>
        <w:rPr>
          <w:rFonts w:ascii="Verdana" w:hAnsi="Verdana"/>
          <w:sz w:val="18"/>
          <w:szCs w:val="18"/>
        </w:rPr>
        <w:t>bank mag</w:t>
      </w:r>
      <w:r w:rsidRPr="00CA7070">
        <w:rPr>
          <w:rFonts w:ascii="Verdana" w:hAnsi="Verdana"/>
          <w:sz w:val="18"/>
          <w:szCs w:val="18"/>
        </w:rPr>
        <w:t xml:space="preserve"> </w:t>
      </w:r>
      <w:r w:rsidR="004F0EBE">
        <w:rPr>
          <w:rFonts w:ascii="Verdana" w:hAnsi="Verdana"/>
          <w:sz w:val="18"/>
          <w:szCs w:val="18"/>
        </w:rPr>
        <w:t xml:space="preserve">een </w:t>
      </w:r>
      <w:r w:rsidRPr="00CA7070">
        <w:rPr>
          <w:rFonts w:ascii="Verdana" w:hAnsi="Verdana"/>
          <w:sz w:val="18"/>
          <w:szCs w:val="18"/>
        </w:rPr>
        <w:t xml:space="preserve">overeenkomst met de houder van </w:t>
      </w:r>
      <w:r w:rsidR="004F0EBE">
        <w:rPr>
          <w:rFonts w:ascii="Verdana" w:hAnsi="Verdana"/>
          <w:sz w:val="18"/>
          <w:szCs w:val="18"/>
        </w:rPr>
        <w:t>een</w:t>
      </w:r>
      <w:r w:rsidRPr="00CA7070">
        <w:rPr>
          <w:rFonts w:ascii="Verdana" w:hAnsi="Verdana"/>
          <w:sz w:val="18"/>
          <w:szCs w:val="18"/>
        </w:rPr>
        <w:t xml:space="preserve"> basisbetaalrekening</w:t>
      </w:r>
      <w:r w:rsidR="005F4418">
        <w:rPr>
          <w:rFonts w:ascii="Verdana" w:hAnsi="Verdana"/>
          <w:sz w:val="18"/>
          <w:szCs w:val="18"/>
        </w:rPr>
        <w:t>, kre</w:t>
      </w:r>
      <w:r w:rsidR="00E03408">
        <w:rPr>
          <w:rFonts w:ascii="Verdana" w:hAnsi="Verdana"/>
          <w:sz w:val="18"/>
          <w:szCs w:val="18"/>
        </w:rPr>
        <w:t>diet</w:t>
      </w:r>
      <w:r w:rsidR="003B660C">
        <w:rPr>
          <w:rFonts w:ascii="Verdana" w:hAnsi="Verdana"/>
          <w:sz w:val="18"/>
          <w:szCs w:val="18"/>
        </w:rPr>
        <w:t>faciliteit</w:t>
      </w:r>
      <w:r w:rsidRPr="00CA7070">
        <w:rPr>
          <w:rFonts w:ascii="Verdana" w:hAnsi="Verdana"/>
          <w:sz w:val="18"/>
          <w:szCs w:val="18"/>
        </w:rPr>
        <w:t xml:space="preserve"> of </w:t>
      </w:r>
      <w:r w:rsidR="005B1DA1">
        <w:rPr>
          <w:rFonts w:ascii="Verdana" w:hAnsi="Verdana"/>
          <w:sz w:val="18"/>
          <w:szCs w:val="18"/>
        </w:rPr>
        <w:t>enige andere contractuele</w:t>
      </w:r>
      <w:r w:rsidR="00580EFB">
        <w:rPr>
          <w:rFonts w:ascii="Verdana" w:hAnsi="Verdana"/>
          <w:sz w:val="18"/>
          <w:szCs w:val="18"/>
        </w:rPr>
        <w:t xml:space="preserve"> ban</w:t>
      </w:r>
      <w:r w:rsidR="00F019FF">
        <w:rPr>
          <w:rFonts w:ascii="Verdana" w:hAnsi="Verdana"/>
          <w:sz w:val="18"/>
          <w:szCs w:val="18"/>
        </w:rPr>
        <w:t xml:space="preserve">caire </w:t>
      </w:r>
      <w:r w:rsidR="00580EFB">
        <w:rPr>
          <w:rFonts w:ascii="Verdana" w:hAnsi="Verdana"/>
          <w:sz w:val="18"/>
          <w:szCs w:val="18"/>
        </w:rPr>
        <w:t>relatie</w:t>
      </w:r>
      <w:r w:rsidRPr="00CA7070">
        <w:rPr>
          <w:rFonts w:ascii="Verdana" w:hAnsi="Verdana"/>
          <w:sz w:val="18"/>
          <w:szCs w:val="18"/>
        </w:rPr>
        <w:t xml:space="preserve"> waarin toegang tot een basisbetaalrekening wordt geregeld eenzijdig </w:t>
      </w:r>
      <w:r w:rsidR="005F4418" w:rsidRPr="00CA7070">
        <w:rPr>
          <w:rFonts w:ascii="Verdana" w:hAnsi="Verdana"/>
          <w:sz w:val="18"/>
          <w:szCs w:val="18"/>
        </w:rPr>
        <w:t>beëindigen</w:t>
      </w:r>
      <w:r>
        <w:rPr>
          <w:rFonts w:ascii="Verdana" w:hAnsi="Verdana"/>
          <w:sz w:val="18"/>
          <w:szCs w:val="18"/>
        </w:rPr>
        <w:t xml:space="preserve"> alleen</w:t>
      </w:r>
      <w:r w:rsidRPr="00CA7070">
        <w:rPr>
          <w:rFonts w:ascii="Verdana" w:hAnsi="Verdana"/>
          <w:sz w:val="18"/>
          <w:szCs w:val="18"/>
        </w:rPr>
        <w:t xml:space="preserve"> indien de houder van die rekening:</w:t>
      </w:r>
    </w:p>
    <w:p w14:paraId="61BEFC62" w14:textId="38F42C34" w:rsidR="00CA7070" w:rsidRPr="00CA7070" w:rsidRDefault="00CA7070" w:rsidP="00F11BF7">
      <w:pPr>
        <w:pStyle w:val="ListParagraph"/>
        <w:numPr>
          <w:ilvl w:val="1"/>
          <w:numId w:val="22"/>
        </w:numPr>
        <w:shd w:val="clear" w:color="auto" w:fill="FFFFFF"/>
        <w:spacing w:after="240" w:line="260" w:lineRule="atLeast"/>
        <w:rPr>
          <w:rFonts w:ascii="Verdana" w:hAnsi="Verdana"/>
          <w:sz w:val="18"/>
          <w:szCs w:val="18"/>
        </w:rPr>
      </w:pPr>
      <w:r w:rsidRPr="00CA7070">
        <w:rPr>
          <w:rFonts w:ascii="Verdana" w:hAnsi="Verdana"/>
          <w:sz w:val="18"/>
          <w:szCs w:val="18"/>
        </w:rPr>
        <w:t>gedurende meer dan 24 opeenvolgende maanden op de basisbetaalrekening geen transacties heeft verrich</w:t>
      </w:r>
      <w:r w:rsidR="008A71C8">
        <w:rPr>
          <w:rFonts w:ascii="Verdana" w:hAnsi="Verdana"/>
          <w:sz w:val="18"/>
          <w:szCs w:val="18"/>
        </w:rPr>
        <w:t>t</w:t>
      </w:r>
    </w:p>
    <w:p w14:paraId="76E5391A" w14:textId="2CB47FEA" w:rsidR="00CA7070" w:rsidRPr="00CA7070" w:rsidRDefault="00CA7070" w:rsidP="00F11BF7">
      <w:pPr>
        <w:pStyle w:val="ListParagraph"/>
        <w:numPr>
          <w:ilvl w:val="1"/>
          <w:numId w:val="22"/>
        </w:numPr>
        <w:shd w:val="clear" w:color="auto" w:fill="FFFFFF"/>
        <w:spacing w:after="240" w:line="260" w:lineRule="atLeast"/>
        <w:rPr>
          <w:rFonts w:ascii="Verdana" w:hAnsi="Verdana"/>
          <w:sz w:val="18"/>
          <w:szCs w:val="18"/>
        </w:rPr>
      </w:pPr>
      <w:r>
        <w:rPr>
          <w:rFonts w:ascii="Verdana" w:hAnsi="Verdana"/>
          <w:sz w:val="18"/>
          <w:szCs w:val="18"/>
        </w:rPr>
        <w:t xml:space="preserve">niet langer rechtmatig Binnen </w:t>
      </w:r>
      <w:r w:rsidR="004F0EBE">
        <w:rPr>
          <w:rFonts w:ascii="Verdana" w:hAnsi="Verdana"/>
          <w:sz w:val="18"/>
          <w:szCs w:val="18"/>
        </w:rPr>
        <w:t>St. Maarten verblijft voor meer dan 24 opeenvolgende maanden</w:t>
      </w:r>
      <w:r w:rsidR="009034C8">
        <w:rPr>
          <w:rFonts w:ascii="Verdana" w:hAnsi="Verdana"/>
          <w:sz w:val="18"/>
          <w:szCs w:val="18"/>
        </w:rPr>
        <w:t xml:space="preserve">, </w:t>
      </w:r>
      <w:r w:rsidR="009034C8" w:rsidRPr="009034C8">
        <w:rPr>
          <w:rFonts w:ascii="Verdana" w:hAnsi="Verdana"/>
          <w:sz w:val="18"/>
          <w:szCs w:val="18"/>
        </w:rPr>
        <w:t xml:space="preserve">met uitzondering </w:t>
      </w:r>
      <w:r w:rsidR="009034C8" w:rsidRPr="009034C8">
        <w:rPr>
          <w:rFonts w:ascii="Verdana" w:hAnsi="Verdana"/>
          <w:sz w:val="18"/>
          <w:szCs w:val="18"/>
        </w:rPr>
        <w:lastRenderedPageBreak/>
        <w:t xml:space="preserve">van degenen die niet langer ingezetenen van het land zijn </w:t>
      </w:r>
      <w:r w:rsidR="009034C8">
        <w:rPr>
          <w:rFonts w:ascii="Verdana" w:hAnsi="Verdana"/>
          <w:sz w:val="18"/>
          <w:szCs w:val="18"/>
        </w:rPr>
        <w:t>d</w:t>
      </w:r>
      <w:r w:rsidR="009034C8" w:rsidRPr="009034C8">
        <w:rPr>
          <w:rFonts w:ascii="Verdana" w:hAnsi="Verdana"/>
          <w:sz w:val="18"/>
          <w:szCs w:val="18"/>
        </w:rPr>
        <w:t xml:space="preserve">oor hun </w:t>
      </w:r>
      <w:r w:rsidR="009034C8">
        <w:rPr>
          <w:rFonts w:ascii="Verdana" w:hAnsi="Verdana"/>
          <w:sz w:val="18"/>
          <w:szCs w:val="18"/>
        </w:rPr>
        <w:t xml:space="preserve">eigen </w:t>
      </w:r>
      <w:r w:rsidR="009034C8" w:rsidRPr="009034C8">
        <w:rPr>
          <w:rFonts w:ascii="Verdana" w:hAnsi="Verdana"/>
          <w:sz w:val="18"/>
          <w:szCs w:val="18"/>
        </w:rPr>
        <w:t>educatieve studies</w:t>
      </w:r>
    </w:p>
    <w:p w14:paraId="0FC2B3B5" w14:textId="77777777" w:rsidR="00CA7070" w:rsidRPr="00CA7070" w:rsidRDefault="00CA7070" w:rsidP="00F11BF7">
      <w:pPr>
        <w:pStyle w:val="ListParagraph"/>
        <w:numPr>
          <w:ilvl w:val="1"/>
          <w:numId w:val="22"/>
        </w:numPr>
        <w:shd w:val="clear" w:color="auto" w:fill="FFFFFF"/>
        <w:spacing w:after="240" w:line="260" w:lineRule="atLeast"/>
        <w:rPr>
          <w:rFonts w:ascii="Verdana" w:hAnsi="Verdana"/>
          <w:sz w:val="18"/>
          <w:szCs w:val="18"/>
        </w:rPr>
      </w:pPr>
      <w:r w:rsidRPr="00CA7070">
        <w:rPr>
          <w:rFonts w:ascii="Verdana" w:hAnsi="Verdana"/>
          <w:sz w:val="18"/>
          <w:szCs w:val="18"/>
        </w:rPr>
        <w:t xml:space="preserve">onjuiste of onvolledige informatie heeft verstrekt om toegang tot de basisbetaalrekening te verkrijgen en verstrekking van de juiste en volledige informatie ertoe zou hebben geleid dat de bank het openen van een basisbetaalrekening zou hebben geweigerd op </w:t>
      </w:r>
      <w:r>
        <w:rPr>
          <w:rFonts w:ascii="Verdana" w:hAnsi="Verdana"/>
          <w:sz w:val="18"/>
          <w:szCs w:val="18"/>
        </w:rPr>
        <w:t>grond van artikel 3</w:t>
      </w:r>
      <w:r w:rsidRPr="00CA7070">
        <w:rPr>
          <w:rFonts w:ascii="Verdana" w:hAnsi="Verdana"/>
          <w:sz w:val="18"/>
          <w:szCs w:val="18"/>
        </w:rPr>
        <w:t xml:space="preserve"> </w:t>
      </w:r>
    </w:p>
    <w:p w14:paraId="3B74CF11" w14:textId="77777777" w:rsidR="00CA7070" w:rsidRPr="00CA7070" w:rsidRDefault="00CA7070" w:rsidP="00F11BF7">
      <w:pPr>
        <w:pStyle w:val="ListParagraph"/>
        <w:numPr>
          <w:ilvl w:val="0"/>
          <w:numId w:val="22"/>
        </w:numPr>
        <w:shd w:val="clear" w:color="auto" w:fill="FFFFFF"/>
        <w:spacing w:after="240" w:line="260" w:lineRule="atLeast"/>
        <w:rPr>
          <w:rFonts w:ascii="Verdana" w:hAnsi="Verdana"/>
          <w:sz w:val="18"/>
          <w:szCs w:val="18"/>
        </w:rPr>
      </w:pPr>
      <w:r w:rsidRPr="00CA7070">
        <w:rPr>
          <w:rFonts w:ascii="Verdana" w:hAnsi="Verdana"/>
          <w:sz w:val="18"/>
          <w:szCs w:val="18"/>
        </w:rPr>
        <w:t>Indien de bank voornemens is de overeenkomst te beëindigen op grond van het eerste lid, stelt zij de rekeninghouder twee maanden voor de beëindiging van de overeenkomst hiervan in kennis.</w:t>
      </w:r>
    </w:p>
    <w:p w14:paraId="0B388E61" w14:textId="3B24CCCF" w:rsidR="00CA7070" w:rsidRDefault="006A03A1" w:rsidP="00F11BF7">
      <w:pPr>
        <w:pStyle w:val="ListParagraph"/>
        <w:numPr>
          <w:ilvl w:val="0"/>
          <w:numId w:val="22"/>
        </w:numPr>
        <w:shd w:val="clear" w:color="auto" w:fill="FFFFFF"/>
        <w:spacing w:after="240" w:line="260" w:lineRule="atLeast"/>
        <w:rPr>
          <w:rFonts w:ascii="Verdana" w:hAnsi="Verdana"/>
          <w:sz w:val="18"/>
          <w:szCs w:val="18"/>
        </w:rPr>
      </w:pPr>
      <w:r w:rsidRPr="006A03A1">
        <w:rPr>
          <w:rFonts w:ascii="Verdana" w:hAnsi="Verdana"/>
          <w:sz w:val="18"/>
          <w:szCs w:val="18"/>
        </w:rPr>
        <w:t xml:space="preserve">Artikel 5 </w:t>
      </w:r>
      <w:r w:rsidR="00CA7070" w:rsidRPr="00CA7070">
        <w:rPr>
          <w:rFonts w:ascii="Verdana" w:hAnsi="Verdana"/>
          <w:sz w:val="18"/>
          <w:szCs w:val="18"/>
        </w:rPr>
        <w:t>is van overeenkomstige toepassing op de kennisgeving, bedoeld in het tweede.</w:t>
      </w:r>
    </w:p>
    <w:p w14:paraId="36D04BB1" w14:textId="05075376" w:rsidR="003B10AE" w:rsidRPr="0017052D" w:rsidRDefault="00A07C03" w:rsidP="00F11BF7">
      <w:pPr>
        <w:pStyle w:val="ListParagraph"/>
        <w:numPr>
          <w:ilvl w:val="0"/>
          <w:numId w:val="22"/>
        </w:numPr>
        <w:shd w:val="clear" w:color="auto" w:fill="FFFFFF"/>
        <w:spacing w:after="240" w:line="260" w:lineRule="atLeast"/>
        <w:rPr>
          <w:rFonts w:ascii="Verdana" w:hAnsi="Verdana"/>
          <w:sz w:val="18"/>
          <w:szCs w:val="18"/>
        </w:rPr>
      </w:pPr>
      <w:r>
        <w:rPr>
          <w:rFonts w:ascii="Verdana" w:hAnsi="Verdana"/>
          <w:sz w:val="18"/>
          <w:szCs w:val="18"/>
        </w:rPr>
        <w:t>Anders dan als bepaald l</w:t>
      </w:r>
      <w:r w:rsidR="001D79C8">
        <w:rPr>
          <w:rFonts w:ascii="Verdana" w:hAnsi="Verdana"/>
          <w:sz w:val="18"/>
          <w:szCs w:val="18"/>
        </w:rPr>
        <w:t>id 1</w:t>
      </w:r>
      <w:r>
        <w:rPr>
          <w:rFonts w:ascii="Verdana" w:hAnsi="Verdana"/>
          <w:sz w:val="18"/>
          <w:szCs w:val="18"/>
        </w:rPr>
        <w:t>, h</w:t>
      </w:r>
      <w:r w:rsidR="0017052D" w:rsidRPr="0017052D">
        <w:rPr>
          <w:rFonts w:ascii="Verdana" w:hAnsi="Verdana"/>
          <w:sz w:val="18"/>
          <w:szCs w:val="18"/>
        </w:rPr>
        <w:t xml:space="preserve">et is een st maarten gevestigde bank verboden een bestaande bancaire relatie met een </w:t>
      </w:r>
      <w:r w:rsidR="0062308A">
        <w:rPr>
          <w:rFonts w:ascii="Verdana" w:hAnsi="Verdana"/>
          <w:sz w:val="18"/>
          <w:szCs w:val="18"/>
        </w:rPr>
        <w:t xml:space="preserve">in St. Maarten </w:t>
      </w:r>
      <w:r w:rsidR="009D47EA">
        <w:rPr>
          <w:rFonts w:ascii="Verdana" w:hAnsi="Verdana"/>
          <w:sz w:val="18"/>
          <w:szCs w:val="18"/>
        </w:rPr>
        <w:t>geregistreerde</w:t>
      </w:r>
      <w:r w:rsidR="0062308A">
        <w:rPr>
          <w:rFonts w:ascii="Verdana" w:hAnsi="Verdana"/>
          <w:sz w:val="18"/>
          <w:szCs w:val="18"/>
        </w:rPr>
        <w:t xml:space="preserve"> </w:t>
      </w:r>
      <w:r w:rsidR="0017052D" w:rsidRPr="0017052D">
        <w:rPr>
          <w:rFonts w:ascii="Verdana" w:hAnsi="Verdana"/>
          <w:sz w:val="18"/>
          <w:szCs w:val="18"/>
        </w:rPr>
        <w:t xml:space="preserve">natuurlijke persoon of rechtspersoon eenzijdig te </w:t>
      </w:r>
      <w:r w:rsidR="00110806" w:rsidRPr="0017052D">
        <w:rPr>
          <w:rFonts w:ascii="Verdana" w:hAnsi="Verdana"/>
          <w:sz w:val="18"/>
          <w:szCs w:val="18"/>
        </w:rPr>
        <w:t>beëindigen</w:t>
      </w:r>
      <w:r w:rsidR="0017052D" w:rsidRPr="0017052D">
        <w:rPr>
          <w:rFonts w:ascii="Verdana" w:hAnsi="Verdana"/>
          <w:sz w:val="18"/>
          <w:szCs w:val="18"/>
        </w:rPr>
        <w:t xml:space="preserve">, zonder voorafgaand onherroepelijk rechterlijk vonnis waarin de verzochte toestemming om de relatie te mogen </w:t>
      </w:r>
      <w:r w:rsidR="00110806" w:rsidRPr="0017052D">
        <w:rPr>
          <w:rFonts w:ascii="Verdana" w:hAnsi="Verdana"/>
          <w:sz w:val="18"/>
          <w:szCs w:val="18"/>
        </w:rPr>
        <w:t>beëindigen</w:t>
      </w:r>
      <w:r w:rsidR="0017052D" w:rsidRPr="0017052D">
        <w:rPr>
          <w:rFonts w:ascii="Verdana" w:hAnsi="Verdana"/>
          <w:sz w:val="18"/>
          <w:szCs w:val="18"/>
        </w:rPr>
        <w:t xml:space="preserve"> wordt verleend.</w:t>
      </w:r>
    </w:p>
    <w:p w14:paraId="07541FDF" w14:textId="509486A1" w:rsidR="00DA08BF" w:rsidRPr="000D3B77" w:rsidRDefault="00DA08BF" w:rsidP="00F11BF7">
      <w:pPr>
        <w:shd w:val="clear" w:color="auto" w:fill="FFFFFF"/>
        <w:spacing w:after="240" w:line="260" w:lineRule="atLeast"/>
        <w:rPr>
          <w:rFonts w:ascii="Verdana" w:hAnsi="Verdana"/>
          <w:b/>
          <w:bCs/>
          <w:sz w:val="18"/>
          <w:szCs w:val="18"/>
        </w:rPr>
      </w:pPr>
      <w:r w:rsidRPr="000D3B77">
        <w:rPr>
          <w:rFonts w:ascii="Verdana" w:hAnsi="Verdana"/>
          <w:b/>
          <w:bCs/>
          <w:sz w:val="18"/>
          <w:szCs w:val="18"/>
        </w:rPr>
        <w:t>Artikel 5 Interne Klachtenprocedure</w:t>
      </w:r>
    </w:p>
    <w:p w14:paraId="6486E162" w14:textId="103457CD" w:rsidR="00A16184" w:rsidRPr="00A16184" w:rsidRDefault="00A16184" w:rsidP="004A52C3">
      <w:pPr>
        <w:pStyle w:val="ListParagraph"/>
        <w:numPr>
          <w:ilvl w:val="0"/>
          <w:numId w:val="25"/>
        </w:numPr>
        <w:shd w:val="clear" w:color="auto" w:fill="FFFFFF"/>
        <w:spacing w:after="240" w:line="260" w:lineRule="atLeast"/>
        <w:rPr>
          <w:rFonts w:ascii="Verdana" w:hAnsi="Verdana"/>
          <w:sz w:val="18"/>
          <w:szCs w:val="18"/>
        </w:rPr>
      </w:pPr>
      <w:r w:rsidRPr="00A16184">
        <w:rPr>
          <w:rFonts w:ascii="Verdana" w:hAnsi="Verdana"/>
          <w:sz w:val="18"/>
          <w:szCs w:val="18"/>
        </w:rPr>
        <w:t xml:space="preserve">Een beheerder van een </w:t>
      </w:r>
      <w:r w:rsidR="00AF4D65">
        <w:rPr>
          <w:rFonts w:ascii="Verdana" w:hAnsi="Verdana"/>
          <w:sz w:val="18"/>
          <w:szCs w:val="18"/>
        </w:rPr>
        <w:t>in St. Maarten gevestigde bank</w:t>
      </w:r>
      <w:r w:rsidRPr="00A16184">
        <w:rPr>
          <w:rFonts w:ascii="Verdana" w:hAnsi="Verdana"/>
          <w:sz w:val="18"/>
          <w:szCs w:val="18"/>
        </w:rPr>
        <w:t xml:space="preserve"> draagt zorg voor een adequate behandeling van klachten van cliënten, consumenten of deelnemers over betaaldiensten, financiële diensten of financiële producten van de financiële onderneming. Hiertoe:</w:t>
      </w:r>
    </w:p>
    <w:p w14:paraId="2581689C" w14:textId="5D740DF1" w:rsidR="00A16184" w:rsidRPr="00A16184" w:rsidRDefault="00A16184" w:rsidP="004A52C3">
      <w:pPr>
        <w:pStyle w:val="ListParagraph"/>
        <w:numPr>
          <w:ilvl w:val="1"/>
          <w:numId w:val="25"/>
        </w:numPr>
        <w:shd w:val="clear" w:color="auto" w:fill="FFFFFF"/>
        <w:spacing w:after="240" w:line="260" w:lineRule="atLeast"/>
        <w:rPr>
          <w:rFonts w:ascii="Verdana" w:hAnsi="Verdana"/>
          <w:sz w:val="18"/>
          <w:szCs w:val="18"/>
        </w:rPr>
      </w:pPr>
      <w:r w:rsidRPr="00A16184">
        <w:rPr>
          <w:rFonts w:ascii="Verdana" w:hAnsi="Verdana"/>
          <w:sz w:val="18"/>
          <w:szCs w:val="18"/>
        </w:rPr>
        <w:t>beschikt de financiële onderneming over een interne klachtenprocedure, gericht op een spoedige en zorgvuldige behandeling van klachten; en</w:t>
      </w:r>
    </w:p>
    <w:p w14:paraId="028E4DA3" w14:textId="52B05210" w:rsidR="00055C26" w:rsidRDefault="00DF3012" w:rsidP="004A52C3">
      <w:pPr>
        <w:pStyle w:val="ListParagraph"/>
        <w:numPr>
          <w:ilvl w:val="1"/>
          <w:numId w:val="25"/>
        </w:numPr>
        <w:shd w:val="clear" w:color="auto" w:fill="FFFFFF"/>
        <w:spacing w:after="240" w:line="260" w:lineRule="atLeast"/>
        <w:rPr>
          <w:rFonts w:ascii="Verdana" w:hAnsi="Verdana"/>
          <w:sz w:val="18"/>
          <w:szCs w:val="18"/>
        </w:rPr>
      </w:pPr>
      <w:r w:rsidRPr="00055C26">
        <w:rPr>
          <w:rFonts w:ascii="Verdana" w:hAnsi="Verdana"/>
          <w:sz w:val="18"/>
          <w:szCs w:val="18"/>
        </w:rPr>
        <w:t>Als het bureau voor consumentenbescherming en -bankieren is opgericht volgens artikel 6, wordt een kopie van de klacht ook binnen 5 werkdagen na ontvangst van d</w:t>
      </w:r>
      <w:r w:rsidR="00571D1D">
        <w:rPr>
          <w:rFonts w:ascii="Verdana" w:hAnsi="Verdana"/>
          <w:sz w:val="18"/>
          <w:szCs w:val="18"/>
        </w:rPr>
        <w:t>e</w:t>
      </w:r>
      <w:r w:rsidRPr="00055C26">
        <w:rPr>
          <w:rFonts w:ascii="Verdana" w:hAnsi="Verdana"/>
          <w:sz w:val="18"/>
          <w:szCs w:val="18"/>
        </w:rPr>
        <w:t xml:space="preserve"> klacht aan dit bureau toegezonden</w:t>
      </w:r>
      <w:r w:rsidR="00055C26">
        <w:rPr>
          <w:rFonts w:ascii="Verdana" w:hAnsi="Verdana"/>
          <w:sz w:val="18"/>
          <w:szCs w:val="18"/>
        </w:rPr>
        <w:t>.</w:t>
      </w:r>
    </w:p>
    <w:p w14:paraId="4BB21D20" w14:textId="77777777" w:rsidR="001633FA" w:rsidRDefault="001633FA" w:rsidP="00F11BF7">
      <w:pPr>
        <w:pStyle w:val="ListParagraph"/>
        <w:shd w:val="clear" w:color="auto" w:fill="FFFFFF"/>
        <w:spacing w:after="240" w:line="260" w:lineRule="atLeast"/>
        <w:ind w:left="1440"/>
        <w:rPr>
          <w:rFonts w:ascii="Verdana" w:hAnsi="Verdana"/>
          <w:sz w:val="18"/>
          <w:szCs w:val="18"/>
        </w:rPr>
      </w:pPr>
    </w:p>
    <w:p w14:paraId="601DA99F" w14:textId="0A74C9CE" w:rsidR="001B1D30" w:rsidRPr="00055C26" w:rsidRDefault="001B1D30" w:rsidP="004A52C3">
      <w:pPr>
        <w:pStyle w:val="ListParagraph"/>
        <w:numPr>
          <w:ilvl w:val="0"/>
          <w:numId w:val="25"/>
        </w:numPr>
        <w:shd w:val="clear" w:color="auto" w:fill="FFFFFF"/>
        <w:spacing w:after="240" w:line="260" w:lineRule="atLeast"/>
        <w:rPr>
          <w:rFonts w:ascii="Verdana" w:hAnsi="Verdana"/>
          <w:sz w:val="18"/>
          <w:szCs w:val="18"/>
        </w:rPr>
      </w:pPr>
      <w:r w:rsidRPr="00055C26">
        <w:rPr>
          <w:rFonts w:ascii="Verdana" w:hAnsi="Verdana"/>
          <w:sz w:val="18"/>
          <w:szCs w:val="18"/>
        </w:rPr>
        <w:t>Het eerste lid</w:t>
      </w:r>
      <w:r w:rsidR="004A52C3">
        <w:rPr>
          <w:rFonts w:ascii="Verdana" w:hAnsi="Verdana"/>
          <w:sz w:val="18"/>
          <w:szCs w:val="18"/>
        </w:rPr>
        <w:t xml:space="preserve"> </w:t>
      </w:r>
      <w:r w:rsidRPr="00055C26">
        <w:rPr>
          <w:rFonts w:ascii="Verdana" w:hAnsi="Verdana"/>
          <w:sz w:val="18"/>
          <w:szCs w:val="18"/>
        </w:rPr>
        <w:t>is niet van toepassing op financiële ondernemingen voorzover zij:</w:t>
      </w:r>
    </w:p>
    <w:p w14:paraId="5EB1BE6A" w14:textId="7A139CE1" w:rsidR="001B1D30" w:rsidRPr="001B1D30" w:rsidRDefault="001B1D30" w:rsidP="004A52C3">
      <w:pPr>
        <w:pStyle w:val="ListParagraph"/>
        <w:numPr>
          <w:ilvl w:val="1"/>
          <w:numId w:val="25"/>
        </w:numPr>
        <w:shd w:val="clear" w:color="auto" w:fill="FFFFFF"/>
        <w:spacing w:after="240" w:line="260" w:lineRule="atLeast"/>
        <w:rPr>
          <w:rFonts w:ascii="Verdana" w:hAnsi="Verdana"/>
          <w:sz w:val="18"/>
          <w:szCs w:val="18"/>
        </w:rPr>
      </w:pPr>
      <w:r w:rsidRPr="001B1D30">
        <w:rPr>
          <w:rFonts w:ascii="Verdana" w:hAnsi="Verdana"/>
          <w:sz w:val="18"/>
          <w:szCs w:val="18"/>
        </w:rPr>
        <w:t>beleggingsdiensten uitsluitend voor professionele beleggers verlenen; of</w:t>
      </w:r>
    </w:p>
    <w:p w14:paraId="7C81CB1F" w14:textId="4A2E7772" w:rsidR="001B1D30" w:rsidRPr="00DF3012" w:rsidRDefault="001B1D30" w:rsidP="004A52C3">
      <w:pPr>
        <w:pStyle w:val="ListParagraph"/>
        <w:numPr>
          <w:ilvl w:val="1"/>
          <w:numId w:val="25"/>
        </w:numPr>
        <w:shd w:val="clear" w:color="auto" w:fill="FFFFFF"/>
        <w:spacing w:after="240" w:line="260" w:lineRule="atLeast"/>
        <w:rPr>
          <w:rFonts w:ascii="Verdana" w:hAnsi="Verdana"/>
          <w:sz w:val="18"/>
          <w:szCs w:val="18"/>
        </w:rPr>
      </w:pPr>
      <w:r w:rsidRPr="001B1D30">
        <w:rPr>
          <w:rFonts w:ascii="Verdana" w:hAnsi="Verdana"/>
          <w:sz w:val="18"/>
          <w:szCs w:val="18"/>
        </w:rPr>
        <w:t>optreden als clearinginstelling.</w:t>
      </w:r>
    </w:p>
    <w:p w14:paraId="5FAE69D9" w14:textId="3B659612" w:rsidR="00DA08BF" w:rsidRPr="000D3B77" w:rsidRDefault="00DA08BF" w:rsidP="00F11BF7">
      <w:pPr>
        <w:shd w:val="clear" w:color="auto" w:fill="FFFFFF"/>
        <w:spacing w:after="240" w:line="260" w:lineRule="atLeast"/>
        <w:rPr>
          <w:rFonts w:ascii="Verdana" w:hAnsi="Verdana"/>
          <w:b/>
          <w:bCs/>
          <w:sz w:val="18"/>
          <w:szCs w:val="18"/>
        </w:rPr>
      </w:pPr>
      <w:r w:rsidRPr="000D3B77">
        <w:rPr>
          <w:rFonts w:ascii="Verdana" w:hAnsi="Verdana"/>
          <w:b/>
          <w:bCs/>
          <w:sz w:val="18"/>
          <w:szCs w:val="18"/>
        </w:rPr>
        <w:t xml:space="preserve">Artikel 6 </w:t>
      </w:r>
      <w:r w:rsidR="00B76E13" w:rsidRPr="000D3B77">
        <w:rPr>
          <w:rFonts w:ascii="Verdana" w:hAnsi="Verdana"/>
          <w:b/>
          <w:bCs/>
          <w:sz w:val="18"/>
          <w:szCs w:val="18"/>
        </w:rPr>
        <w:t>Bureau consumentenbescherming financiën en bankieren</w:t>
      </w:r>
      <w:r w:rsidR="00DA0A4A" w:rsidRPr="000D3B77">
        <w:rPr>
          <w:rFonts w:ascii="Verdana" w:hAnsi="Verdana"/>
          <w:b/>
          <w:bCs/>
          <w:sz w:val="18"/>
          <w:szCs w:val="18"/>
        </w:rPr>
        <w:t xml:space="preserve"> </w:t>
      </w:r>
    </w:p>
    <w:p w14:paraId="0177E791" w14:textId="44888007" w:rsidR="002E32E8" w:rsidRDefault="00E72957" w:rsidP="00263D38">
      <w:pPr>
        <w:pStyle w:val="ListParagraph"/>
        <w:numPr>
          <w:ilvl w:val="0"/>
          <w:numId w:val="26"/>
        </w:numPr>
        <w:shd w:val="clear" w:color="auto" w:fill="FFFFFF"/>
        <w:spacing w:after="240" w:line="260" w:lineRule="atLeast"/>
        <w:rPr>
          <w:rFonts w:ascii="Verdana" w:hAnsi="Verdana"/>
          <w:sz w:val="18"/>
          <w:szCs w:val="18"/>
        </w:rPr>
      </w:pPr>
      <w:r>
        <w:rPr>
          <w:rFonts w:ascii="Verdana" w:hAnsi="Verdana"/>
          <w:sz w:val="18"/>
          <w:szCs w:val="18"/>
        </w:rPr>
        <w:t>Door h</w:t>
      </w:r>
      <w:r w:rsidR="00FA5D83">
        <w:rPr>
          <w:rFonts w:ascii="Verdana" w:hAnsi="Verdana"/>
          <w:sz w:val="18"/>
          <w:szCs w:val="18"/>
        </w:rPr>
        <w:t xml:space="preserve">et land </w:t>
      </w:r>
      <w:r>
        <w:rPr>
          <w:rFonts w:ascii="Verdana" w:hAnsi="Verdana"/>
          <w:sz w:val="18"/>
          <w:szCs w:val="18"/>
        </w:rPr>
        <w:t xml:space="preserve">wordt </w:t>
      </w:r>
      <w:r w:rsidR="00FA5D83">
        <w:rPr>
          <w:rFonts w:ascii="Verdana" w:hAnsi="Verdana"/>
          <w:sz w:val="18"/>
          <w:szCs w:val="18"/>
        </w:rPr>
        <w:t xml:space="preserve">een </w:t>
      </w:r>
      <w:r w:rsidR="009A4A43">
        <w:rPr>
          <w:rFonts w:ascii="Verdana" w:hAnsi="Verdana"/>
          <w:sz w:val="18"/>
          <w:szCs w:val="18"/>
        </w:rPr>
        <w:t xml:space="preserve">Bureau </w:t>
      </w:r>
      <w:r>
        <w:rPr>
          <w:rFonts w:ascii="Verdana" w:hAnsi="Verdana"/>
          <w:sz w:val="18"/>
          <w:szCs w:val="18"/>
        </w:rPr>
        <w:t>C</w:t>
      </w:r>
      <w:r w:rsidR="009A4A43">
        <w:rPr>
          <w:rFonts w:ascii="Verdana" w:hAnsi="Verdana"/>
          <w:sz w:val="18"/>
          <w:szCs w:val="18"/>
        </w:rPr>
        <w:t xml:space="preserve">onsumentenbescherming </w:t>
      </w:r>
      <w:r>
        <w:rPr>
          <w:rFonts w:ascii="Verdana" w:hAnsi="Verdana"/>
          <w:sz w:val="18"/>
          <w:szCs w:val="18"/>
        </w:rPr>
        <w:t>F</w:t>
      </w:r>
      <w:r w:rsidR="009A4A43">
        <w:rPr>
          <w:rFonts w:ascii="Verdana" w:hAnsi="Verdana"/>
          <w:sz w:val="18"/>
          <w:szCs w:val="18"/>
        </w:rPr>
        <w:t xml:space="preserve">inanciën en </w:t>
      </w:r>
      <w:r>
        <w:rPr>
          <w:rFonts w:ascii="Verdana" w:hAnsi="Verdana"/>
          <w:sz w:val="18"/>
          <w:szCs w:val="18"/>
        </w:rPr>
        <w:t>B</w:t>
      </w:r>
      <w:r w:rsidR="009A4A43">
        <w:rPr>
          <w:rFonts w:ascii="Verdana" w:hAnsi="Verdana"/>
          <w:sz w:val="18"/>
          <w:szCs w:val="18"/>
        </w:rPr>
        <w:t>ankieren</w:t>
      </w:r>
      <w:r w:rsidR="00C60206">
        <w:rPr>
          <w:rFonts w:ascii="Verdana" w:hAnsi="Verdana"/>
          <w:sz w:val="18"/>
          <w:szCs w:val="18"/>
        </w:rPr>
        <w:t xml:space="preserve"> (Bureau) </w:t>
      </w:r>
      <w:r w:rsidR="00CA3B04">
        <w:rPr>
          <w:rFonts w:ascii="Verdana" w:hAnsi="Verdana"/>
          <w:sz w:val="18"/>
          <w:szCs w:val="18"/>
        </w:rPr>
        <w:t>in</w:t>
      </w:r>
      <w:r w:rsidR="006134FA">
        <w:rPr>
          <w:rFonts w:ascii="Verdana" w:hAnsi="Verdana"/>
          <w:sz w:val="18"/>
          <w:szCs w:val="18"/>
        </w:rPr>
        <w:t>gesteld.</w:t>
      </w:r>
    </w:p>
    <w:p w14:paraId="55690FBC" w14:textId="77777777" w:rsidR="00CF6289" w:rsidRDefault="00CF6289" w:rsidP="00F11BF7">
      <w:pPr>
        <w:pStyle w:val="ListParagraph"/>
        <w:shd w:val="clear" w:color="auto" w:fill="FFFFFF"/>
        <w:spacing w:after="240" w:line="260" w:lineRule="atLeast"/>
        <w:rPr>
          <w:rFonts w:ascii="Verdana" w:hAnsi="Verdana"/>
          <w:sz w:val="18"/>
          <w:szCs w:val="18"/>
        </w:rPr>
      </w:pPr>
    </w:p>
    <w:p w14:paraId="0779EB36" w14:textId="77777777" w:rsidR="00CF6289" w:rsidRDefault="00C60206" w:rsidP="00263D38">
      <w:pPr>
        <w:pStyle w:val="ListParagraph"/>
        <w:numPr>
          <w:ilvl w:val="0"/>
          <w:numId w:val="26"/>
        </w:numPr>
        <w:shd w:val="clear" w:color="auto" w:fill="FFFFFF"/>
        <w:spacing w:after="240" w:line="260" w:lineRule="atLeast"/>
        <w:rPr>
          <w:rFonts w:ascii="Verdana" w:hAnsi="Verdana"/>
          <w:sz w:val="18"/>
          <w:szCs w:val="18"/>
        </w:rPr>
      </w:pPr>
      <w:r w:rsidRPr="00CF6289">
        <w:rPr>
          <w:rFonts w:ascii="Verdana" w:hAnsi="Verdana"/>
          <w:sz w:val="18"/>
          <w:szCs w:val="18"/>
        </w:rPr>
        <w:t>Het Bureau is zelfstandig wat betreft zijn organisatie, het beheer van zijn middelen en het behartigen van zijn belangen. Het Bureau is verantwoordelijk voor zijn eigen boekhouding.</w:t>
      </w:r>
    </w:p>
    <w:p w14:paraId="6B411868" w14:textId="77777777" w:rsidR="00CF6289" w:rsidRPr="00CF6289" w:rsidRDefault="00CF6289" w:rsidP="00F11BF7">
      <w:pPr>
        <w:pStyle w:val="ListParagraph"/>
        <w:spacing w:line="260" w:lineRule="atLeast"/>
        <w:rPr>
          <w:rFonts w:ascii="Verdana" w:hAnsi="Verdana"/>
          <w:sz w:val="18"/>
          <w:szCs w:val="18"/>
        </w:rPr>
      </w:pPr>
    </w:p>
    <w:p w14:paraId="6A3CC657" w14:textId="74C1AE6B" w:rsidR="00CF6289" w:rsidRDefault="006428E4" w:rsidP="00263D38">
      <w:pPr>
        <w:pStyle w:val="ListParagraph"/>
        <w:numPr>
          <w:ilvl w:val="0"/>
          <w:numId w:val="26"/>
        </w:numPr>
        <w:shd w:val="clear" w:color="auto" w:fill="FFFFFF"/>
        <w:spacing w:after="240" w:line="260" w:lineRule="atLeast"/>
        <w:rPr>
          <w:rFonts w:ascii="Verdana" w:hAnsi="Verdana"/>
          <w:sz w:val="18"/>
          <w:szCs w:val="18"/>
        </w:rPr>
      </w:pPr>
      <w:r w:rsidRPr="00CF6289">
        <w:rPr>
          <w:rFonts w:ascii="Verdana" w:hAnsi="Verdana"/>
          <w:sz w:val="18"/>
          <w:szCs w:val="18"/>
        </w:rPr>
        <w:t xml:space="preserve">Het bureau wordt gefinancierd door het </w:t>
      </w:r>
      <w:r w:rsidR="00263D38">
        <w:rPr>
          <w:rFonts w:ascii="Verdana" w:hAnsi="Verdana"/>
          <w:sz w:val="18"/>
          <w:szCs w:val="18"/>
        </w:rPr>
        <w:t>M</w:t>
      </w:r>
      <w:r w:rsidRPr="00CF6289">
        <w:rPr>
          <w:rFonts w:ascii="Verdana" w:hAnsi="Verdana"/>
          <w:sz w:val="18"/>
          <w:szCs w:val="18"/>
        </w:rPr>
        <w:t>inisterie van Financiën</w:t>
      </w:r>
    </w:p>
    <w:p w14:paraId="3891DFAF" w14:textId="77777777" w:rsidR="00CF6289" w:rsidRPr="00CF6289" w:rsidRDefault="00CF6289" w:rsidP="00F11BF7">
      <w:pPr>
        <w:pStyle w:val="ListParagraph"/>
        <w:spacing w:line="260" w:lineRule="atLeast"/>
        <w:rPr>
          <w:rFonts w:ascii="Verdana" w:hAnsi="Verdana"/>
          <w:sz w:val="18"/>
          <w:szCs w:val="18"/>
        </w:rPr>
      </w:pPr>
    </w:p>
    <w:p w14:paraId="5BB8492F" w14:textId="3F79D15F" w:rsidR="00CF6289" w:rsidRDefault="00C60206" w:rsidP="00263D38">
      <w:pPr>
        <w:pStyle w:val="ListParagraph"/>
        <w:numPr>
          <w:ilvl w:val="0"/>
          <w:numId w:val="26"/>
        </w:numPr>
        <w:shd w:val="clear" w:color="auto" w:fill="FFFFFF"/>
        <w:spacing w:after="240" w:line="260" w:lineRule="atLeast"/>
        <w:rPr>
          <w:rFonts w:ascii="Verdana" w:hAnsi="Verdana"/>
          <w:sz w:val="18"/>
          <w:szCs w:val="18"/>
        </w:rPr>
      </w:pPr>
      <w:r w:rsidRPr="00CF6289">
        <w:rPr>
          <w:rFonts w:ascii="Verdana" w:hAnsi="Verdana"/>
          <w:sz w:val="18"/>
          <w:szCs w:val="18"/>
        </w:rPr>
        <w:t>Het Bureau wordt bestuurd volgens principes</w:t>
      </w:r>
      <w:r w:rsidR="00EB727D" w:rsidRPr="00CF6289">
        <w:rPr>
          <w:rFonts w:ascii="Verdana" w:hAnsi="Verdana"/>
          <w:sz w:val="18"/>
          <w:szCs w:val="18"/>
        </w:rPr>
        <w:t xml:space="preserve"> </w:t>
      </w:r>
      <w:r w:rsidR="00262A74" w:rsidRPr="00CF6289">
        <w:rPr>
          <w:rFonts w:ascii="Verdana" w:hAnsi="Verdana"/>
          <w:sz w:val="18"/>
          <w:szCs w:val="18"/>
        </w:rPr>
        <w:t xml:space="preserve">van consumentenbescherming in de </w:t>
      </w:r>
      <w:r w:rsidR="00CF6289" w:rsidRPr="00CF6289">
        <w:rPr>
          <w:rFonts w:ascii="Verdana" w:hAnsi="Verdana"/>
          <w:sz w:val="18"/>
          <w:szCs w:val="18"/>
        </w:rPr>
        <w:t>financiële</w:t>
      </w:r>
      <w:r w:rsidR="00262A74" w:rsidRPr="00CF6289">
        <w:rPr>
          <w:rFonts w:ascii="Verdana" w:hAnsi="Verdana"/>
          <w:sz w:val="18"/>
          <w:szCs w:val="18"/>
        </w:rPr>
        <w:t xml:space="preserve"> en bankwezen sector</w:t>
      </w:r>
      <w:r w:rsidRPr="00CF6289">
        <w:rPr>
          <w:rFonts w:ascii="Verdana" w:hAnsi="Verdana"/>
          <w:sz w:val="18"/>
          <w:szCs w:val="18"/>
        </w:rPr>
        <w:t>.</w:t>
      </w:r>
    </w:p>
    <w:p w14:paraId="47DC65B8" w14:textId="77777777" w:rsidR="00CF6289" w:rsidRPr="00CF6289" w:rsidRDefault="00CF6289" w:rsidP="00F11BF7">
      <w:pPr>
        <w:pStyle w:val="ListParagraph"/>
        <w:spacing w:line="260" w:lineRule="atLeast"/>
        <w:rPr>
          <w:rFonts w:ascii="Verdana" w:hAnsi="Verdana"/>
          <w:sz w:val="18"/>
          <w:szCs w:val="18"/>
        </w:rPr>
      </w:pPr>
    </w:p>
    <w:p w14:paraId="0C3B3183" w14:textId="5108A388" w:rsidR="00A94826" w:rsidRDefault="00CA3B04" w:rsidP="00263D38">
      <w:pPr>
        <w:pStyle w:val="ListParagraph"/>
        <w:numPr>
          <w:ilvl w:val="0"/>
          <w:numId w:val="26"/>
        </w:numPr>
        <w:shd w:val="clear" w:color="auto" w:fill="FFFFFF"/>
        <w:spacing w:after="240" w:line="260" w:lineRule="atLeast"/>
        <w:rPr>
          <w:rFonts w:ascii="Verdana" w:hAnsi="Verdana"/>
          <w:sz w:val="18"/>
          <w:szCs w:val="18"/>
        </w:rPr>
      </w:pPr>
      <w:r>
        <w:rPr>
          <w:rFonts w:ascii="Verdana" w:hAnsi="Verdana"/>
          <w:sz w:val="18"/>
          <w:szCs w:val="18"/>
        </w:rPr>
        <w:t xml:space="preserve">Haar samenstelling, taak en werkwijze </w:t>
      </w:r>
      <w:r w:rsidR="00520EF9">
        <w:rPr>
          <w:rFonts w:ascii="Verdana" w:hAnsi="Verdana"/>
          <w:sz w:val="18"/>
          <w:szCs w:val="18"/>
        </w:rPr>
        <w:t>mogen</w:t>
      </w:r>
      <w:r>
        <w:rPr>
          <w:rFonts w:ascii="Verdana" w:hAnsi="Verdana"/>
          <w:sz w:val="18"/>
          <w:szCs w:val="18"/>
        </w:rPr>
        <w:t xml:space="preserve"> b</w:t>
      </w:r>
      <w:r w:rsidR="007256D7">
        <w:rPr>
          <w:rFonts w:ascii="Verdana" w:hAnsi="Verdana"/>
          <w:sz w:val="18"/>
          <w:szCs w:val="18"/>
        </w:rPr>
        <w:t>ij</w:t>
      </w:r>
      <w:r>
        <w:rPr>
          <w:rFonts w:ascii="Verdana" w:hAnsi="Verdana"/>
          <w:sz w:val="18"/>
          <w:szCs w:val="18"/>
        </w:rPr>
        <w:t xml:space="preserve"> Landsbesluit, houdende algemene maatregelen </w:t>
      </w:r>
      <w:r w:rsidR="007256D7">
        <w:rPr>
          <w:rFonts w:ascii="Verdana" w:hAnsi="Verdana"/>
          <w:sz w:val="18"/>
          <w:szCs w:val="18"/>
        </w:rPr>
        <w:t>bepaald en geregeld</w:t>
      </w:r>
      <w:r w:rsidR="00F2579C">
        <w:rPr>
          <w:rFonts w:ascii="Verdana" w:hAnsi="Verdana"/>
          <w:sz w:val="18"/>
          <w:szCs w:val="18"/>
        </w:rPr>
        <w:t xml:space="preserve"> worden</w:t>
      </w:r>
      <w:r>
        <w:rPr>
          <w:rFonts w:ascii="Verdana" w:hAnsi="Verdana"/>
          <w:sz w:val="18"/>
          <w:szCs w:val="18"/>
        </w:rPr>
        <w:t>.</w:t>
      </w:r>
    </w:p>
    <w:p w14:paraId="5A60C934" w14:textId="77777777" w:rsidR="00D52AA6" w:rsidRDefault="00D52AA6" w:rsidP="00F11BF7">
      <w:pPr>
        <w:shd w:val="clear" w:color="auto" w:fill="FFFFFF"/>
        <w:spacing w:after="240" w:line="260" w:lineRule="atLeast"/>
        <w:rPr>
          <w:rFonts w:ascii="Verdana" w:hAnsi="Verdana"/>
          <w:b/>
          <w:bCs/>
          <w:sz w:val="18"/>
          <w:szCs w:val="18"/>
          <w:lang w:eastAsia="en-US"/>
        </w:rPr>
      </w:pPr>
    </w:p>
    <w:p w14:paraId="13BAD27E" w14:textId="4F7BC5D1" w:rsidR="002F15C0" w:rsidRPr="000D3B77" w:rsidRDefault="002F15C0" w:rsidP="00F11BF7">
      <w:pPr>
        <w:shd w:val="clear" w:color="auto" w:fill="FFFFFF"/>
        <w:spacing w:after="240" w:line="260" w:lineRule="atLeast"/>
        <w:rPr>
          <w:rFonts w:ascii="Verdana" w:hAnsi="Verdana"/>
          <w:b/>
          <w:bCs/>
          <w:sz w:val="18"/>
          <w:szCs w:val="18"/>
          <w:lang w:eastAsia="en-US"/>
        </w:rPr>
      </w:pPr>
      <w:r w:rsidRPr="000D3B77">
        <w:rPr>
          <w:rFonts w:ascii="Verdana" w:hAnsi="Verdana"/>
          <w:b/>
          <w:bCs/>
          <w:sz w:val="18"/>
          <w:szCs w:val="18"/>
          <w:lang w:eastAsia="en-US"/>
        </w:rPr>
        <w:t xml:space="preserve">Artikel </w:t>
      </w:r>
      <w:r w:rsidR="00446663" w:rsidRPr="000D3B77">
        <w:rPr>
          <w:rFonts w:ascii="Verdana" w:hAnsi="Verdana"/>
          <w:b/>
          <w:bCs/>
          <w:sz w:val="18"/>
          <w:szCs w:val="18"/>
          <w:lang w:eastAsia="en-US"/>
        </w:rPr>
        <w:t>7</w:t>
      </w:r>
      <w:r w:rsidRPr="000D3B77">
        <w:rPr>
          <w:rFonts w:ascii="Verdana" w:hAnsi="Verdana"/>
          <w:b/>
          <w:bCs/>
          <w:sz w:val="18"/>
          <w:szCs w:val="18"/>
          <w:lang w:eastAsia="en-US"/>
        </w:rPr>
        <w:t xml:space="preserve"> Rechtshandhaving </w:t>
      </w:r>
      <w:r w:rsidR="00CF6289" w:rsidRPr="000D3B77">
        <w:rPr>
          <w:rFonts w:ascii="Verdana" w:hAnsi="Verdana"/>
          <w:b/>
          <w:bCs/>
          <w:sz w:val="18"/>
          <w:szCs w:val="18"/>
          <w:lang w:eastAsia="en-US"/>
        </w:rPr>
        <w:t>en Aflossingsvrije</w:t>
      </w:r>
      <w:r w:rsidR="005569BE" w:rsidRPr="000D3B77">
        <w:rPr>
          <w:rFonts w:ascii="Verdana" w:hAnsi="Verdana"/>
          <w:b/>
          <w:bCs/>
          <w:sz w:val="18"/>
          <w:szCs w:val="18"/>
          <w:lang w:eastAsia="en-US"/>
        </w:rPr>
        <w:t xml:space="preserve"> Periode</w:t>
      </w:r>
    </w:p>
    <w:p w14:paraId="0129E88B" w14:textId="77777777" w:rsidR="002F15C0" w:rsidRDefault="002F15C0" w:rsidP="00F2579C">
      <w:pPr>
        <w:pStyle w:val="ListParagraph"/>
        <w:numPr>
          <w:ilvl w:val="0"/>
          <w:numId w:val="27"/>
        </w:numPr>
        <w:shd w:val="clear" w:color="auto" w:fill="FFFFFF"/>
        <w:spacing w:after="240" w:line="260" w:lineRule="atLeast"/>
        <w:rPr>
          <w:rFonts w:ascii="Verdana" w:hAnsi="Verdana"/>
          <w:sz w:val="18"/>
          <w:szCs w:val="18"/>
        </w:rPr>
      </w:pPr>
      <w:r w:rsidRPr="005569BE">
        <w:rPr>
          <w:rFonts w:ascii="Verdana" w:hAnsi="Verdana"/>
          <w:sz w:val="18"/>
          <w:szCs w:val="18"/>
        </w:rPr>
        <w:t>Er is een aflossingsvrije periode van 365 voor banken om deze wet in hun beleid te implementeren</w:t>
      </w:r>
    </w:p>
    <w:p w14:paraId="3FCADBE3" w14:textId="77777777" w:rsidR="005569BE" w:rsidRPr="005569BE" w:rsidRDefault="005569BE" w:rsidP="00F11BF7">
      <w:pPr>
        <w:pStyle w:val="ListParagraph"/>
        <w:shd w:val="clear" w:color="auto" w:fill="FFFFFF"/>
        <w:spacing w:after="240" w:line="260" w:lineRule="atLeast"/>
        <w:rPr>
          <w:rFonts w:ascii="Verdana" w:hAnsi="Verdana"/>
          <w:sz w:val="18"/>
          <w:szCs w:val="18"/>
        </w:rPr>
      </w:pPr>
    </w:p>
    <w:p w14:paraId="64626091" w14:textId="6FB71D28" w:rsidR="002F15C0" w:rsidRDefault="002F15C0" w:rsidP="00F2579C">
      <w:pPr>
        <w:pStyle w:val="ListParagraph"/>
        <w:numPr>
          <w:ilvl w:val="0"/>
          <w:numId w:val="27"/>
        </w:numPr>
        <w:shd w:val="clear" w:color="auto" w:fill="FFFFFF"/>
        <w:spacing w:after="240" w:line="260" w:lineRule="atLeast"/>
        <w:rPr>
          <w:rFonts w:ascii="Verdana" w:hAnsi="Verdana"/>
          <w:sz w:val="18"/>
          <w:szCs w:val="18"/>
        </w:rPr>
      </w:pPr>
      <w:r w:rsidRPr="005569BE">
        <w:rPr>
          <w:rFonts w:ascii="Verdana" w:hAnsi="Verdana"/>
          <w:sz w:val="18"/>
          <w:szCs w:val="18"/>
        </w:rPr>
        <w:t>De Cent</w:t>
      </w:r>
      <w:r w:rsidR="003E20AA">
        <w:rPr>
          <w:rFonts w:ascii="Verdana" w:hAnsi="Verdana"/>
          <w:sz w:val="18"/>
          <w:szCs w:val="18"/>
        </w:rPr>
        <w:t>r</w:t>
      </w:r>
      <w:r w:rsidRPr="005569BE">
        <w:rPr>
          <w:rFonts w:ascii="Verdana" w:hAnsi="Verdana"/>
          <w:sz w:val="18"/>
          <w:szCs w:val="18"/>
        </w:rPr>
        <w:t>al</w:t>
      </w:r>
      <w:r w:rsidR="00CF6289">
        <w:rPr>
          <w:rFonts w:ascii="Verdana" w:hAnsi="Verdana"/>
          <w:sz w:val="18"/>
          <w:szCs w:val="18"/>
        </w:rPr>
        <w:t>e</w:t>
      </w:r>
      <w:r w:rsidRPr="005569BE">
        <w:rPr>
          <w:rFonts w:ascii="Verdana" w:hAnsi="Verdana"/>
          <w:sz w:val="18"/>
          <w:szCs w:val="18"/>
        </w:rPr>
        <w:t xml:space="preserve"> Bank, met de hulp van de inspectie-afdeling van </w:t>
      </w:r>
      <w:r w:rsidR="003569F5">
        <w:rPr>
          <w:rFonts w:ascii="Verdana" w:hAnsi="Verdana"/>
          <w:sz w:val="18"/>
          <w:szCs w:val="18"/>
        </w:rPr>
        <w:t xml:space="preserve">de ministerie van </w:t>
      </w:r>
      <w:r w:rsidRPr="005569BE">
        <w:rPr>
          <w:rFonts w:ascii="Verdana" w:hAnsi="Verdana"/>
          <w:sz w:val="18"/>
          <w:szCs w:val="18"/>
        </w:rPr>
        <w:t>TEATT, is gemachtigd om periodiek het beleid en de acties van de banken te herzien, specifiek met betrekking tot de naleving van deze wet</w:t>
      </w:r>
      <w:r w:rsidR="005569BE">
        <w:rPr>
          <w:rFonts w:ascii="Verdana" w:hAnsi="Verdana"/>
          <w:sz w:val="18"/>
          <w:szCs w:val="18"/>
        </w:rPr>
        <w:br/>
      </w:r>
    </w:p>
    <w:p w14:paraId="6136D7AB" w14:textId="512B576B" w:rsidR="002F15C0" w:rsidRPr="00CA7070" w:rsidRDefault="002F15C0" w:rsidP="00F2579C">
      <w:pPr>
        <w:pStyle w:val="ListParagraph"/>
        <w:numPr>
          <w:ilvl w:val="0"/>
          <w:numId w:val="27"/>
        </w:numPr>
        <w:shd w:val="clear" w:color="auto" w:fill="FFFFFF"/>
        <w:spacing w:after="240" w:line="260" w:lineRule="atLeast"/>
        <w:rPr>
          <w:rFonts w:ascii="Verdana" w:hAnsi="Verdana"/>
          <w:sz w:val="18"/>
          <w:szCs w:val="18"/>
        </w:rPr>
      </w:pPr>
      <w:r w:rsidRPr="005569BE">
        <w:rPr>
          <w:rFonts w:ascii="Verdana" w:hAnsi="Verdana"/>
          <w:sz w:val="18"/>
          <w:szCs w:val="18"/>
        </w:rPr>
        <w:t xml:space="preserve">De inspectie kan waarschuwingen en boetes afgeven als banken </w:t>
      </w:r>
      <w:r w:rsidR="005569BE">
        <w:rPr>
          <w:rFonts w:ascii="Verdana" w:hAnsi="Verdana"/>
          <w:sz w:val="18"/>
          <w:szCs w:val="18"/>
        </w:rPr>
        <w:br/>
      </w:r>
      <w:r w:rsidRPr="005569BE">
        <w:rPr>
          <w:rFonts w:ascii="Verdana" w:hAnsi="Verdana"/>
          <w:sz w:val="18"/>
          <w:szCs w:val="18"/>
        </w:rPr>
        <w:t>zich niet aan deze wet houden</w:t>
      </w:r>
      <w:r w:rsidR="003569F5">
        <w:rPr>
          <w:rFonts w:ascii="Verdana" w:hAnsi="Verdana"/>
          <w:sz w:val="18"/>
          <w:szCs w:val="18"/>
        </w:rPr>
        <w:t xml:space="preserve">. Deze boetes </w:t>
      </w:r>
      <w:r w:rsidR="00832B40">
        <w:rPr>
          <w:rFonts w:ascii="Verdana" w:hAnsi="Verdana"/>
          <w:sz w:val="18"/>
          <w:szCs w:val="18"/>
        </w:rPr>
        <w:t xml:space="preserve">zullen worden geregeld door ministeriele regeling. </w:t>
      </w:r>
      <w:r w:rsidR="005569BE">
        <w:rPr>
          <w:rFonts w:ascii="Verdana" w:hAnsi="Verdana"/>
          <w:sz w:val="18"/>
          <w:szCs w:val="18"/>
        </w:rPr>
        <w:br/>
      </w:r>
    </w:p>
    <w:p w14:paraId="0FFCB795" w14:textId="77777777" w:rsidR="00DC761E" w:rsidRDefault="00DC761E" w:rsidP="00F11BF7">
      <w:pPr>
        <w:spacing w:line="260" w:lineRule="atLeast"/>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1D1FB6">
        <w:rPr>
          <w:rFonts w:ascii="Verdana" w:hAnsi="Verdana"/>
          <w:sz w:val="18"/>
          <w:szCs w:val="18"/>
        </w:rPr>
        <w:t xml:space="preserve">Gegeven </w:t>
      </w:r>
      <w:r>
        <w:rPr>
          <w:rFonts w:ascii="Verdana" w:hAnsi="Verdana"/>
          <w:sz w:val="18"/>
          <w:szCs w:val="18"/>
        </w:rPr>
        <w:t>te Philipsburg,</w:t>
      </w:r>
    </w:p>
    <w:p w14:paraId="6D1B774A" w14:textId="77777777" w:rsidR="00DC761E" w:rsidRDefault="00DC761E" w:rsidP="00F11BF7">
      <w:pPr>
        <w:spacing w:line="260" w:lineRule="atLeast"/>
        <w:rPr>
          <w:rFonts w:ascii="Verdana" w:hAnsi="Verdana"/>
          <w:sz w:val="18"/>
          <w:szCs w:val="18"/>
        </w:rPr>
      </w:pPr>
    </w:p>
    <w:p w14:paraId="51BC3982" w14:textId="77777777" w:rsidR="00DC761E" w:rsidRDefault="00DC761E" w:rsidP="00F11BF7">
      <w:pPr>
        <w:spacing w:line="260" w:lineRule="atLeast"/>
        <w:rPr>
          <w:rFonts w:ascii="Verdana" w:hAnsi="Verdana"/>
          <w:sz w:val="18"/>
          <w:szCs w:val="18"/>
        </w:rPr>
      </w:pPr>
    </w:p>
    <w:p w14:paraId="3CF71229" w14:textId="77777777" w:rsidR="00DC761E" w:rsidRPr="001D1FB6" w:rsidRDefault="00DC761E" w:rsidP="00F11BF7">
      <w:pPr>
        <w:spacing w:line="260" w:lineRule="atLeast"/>
        <w:rPr>
          <w:rFonts w:ascii="Verdana" w:hAnsi="Verdana"/>
          <w:sz w:val="18"/>
          <w:szCs w:val="18"/>
        </w:rPr>
      </w:pPr>
      <w:r>
        <w:rPr>
          <w:rFonts w:ascii="Verdana" w:hAnsi="Verdana"/>
          <w:sz w:val="18"/>
          <w:szCs w:val="18"/>
        </w:rPr>
        <w:t>De Gouverneur van Sint Maarten</w:t>
      </w:r>
    </w:p>
    <w:p w14:paraId="6D8071E1" w14:textId="77777777" w:rsidR="00DC761E" w:rsidRPr="001D1FB6" w:rsidRDefault="00DC761E" w:rsidP="00F11BF7">
      <w:pPr>
        <w:spacing w:line="260" w:lineRule="atLeast"/>
        <w:rPr>
          <w:rFonts w:ascii="Verdana" w:hAnsi="Verdana"/>
          <w:sz w:val="18"/>
          <w:szCs w:val="18"/>
        </w:rPr>
      </w:pPr>
    </w:p>
    <w:p w14:paraId="739DAD69" w14:textId="77777777" w:rsidR="00DC761E" w:rsidRPr="001D1FB6" w:rsidRDefault="00DC761E" w:rsidP="00F11BF7">
      <w:pPr>
        <w:spacing w:line="260" w:lineRule="atLeast"/>
        <w:rPr>
          <w:rFonts w:ascii="Verdana" w:hAnsi="Verdana"/>
          <w:sz w:val="18"/>
          <w:szCs w:val="18"/>
        </w:rPr>
      </w:pPr>
      <w:r w:rsidRPr="001D1FB6">
        <w:rPr>
          <w:rFonts w:ascii="Verdana" w:hAnsi="Verdana"/>
          <w:sz w:val="18"/>
          <w:szCs w:val="18"/>
        </w:rPr>
        <w:tab/>
      </w:r>
      <w:r w:rsidRPr="001D1FB6">
        <w:rPr>
          <w:rFonts w:ascii="Verdana" w:hAnsi="Verdana"/>
          <w:sz w:val="18"/>
          <w:szCs w:val="18"/>
        </w:rPr>
        <w:tab/>
      </w:r>
      <w:r w:rsidRPr="001D1FB6">
        <w:rPr>
          <w:rFonts w:ascii="Verdana" w:hAnsi="Verdana"/>
          <w:sz w:val="18"/>
          <w:szCs w:val="18"/>
        </w:rPr>
        <w:tab/>
      </w:r>
      <w:r w:rsidRPr="001D1FB6">
        <w:rPr>
          <w:rFonts w:ascii="Verdana" w:hAnsi="Verdana"/>
          <w:sz w:val="18"/>
          <w:szCs w:val="18"/>
        </w:rPr>
        <w:tab/>
      </w:r>
      <w:r w:rsidRPr="001D1FB6">
        <w:rPr>
          <w:rFonts w:ascii="Verdana" w:hAnsi="Verdana"/>
          <w:sz w:val="18"/>
          <w:szCs w:val="18"/>
        </w:rPr>
        <w:tab/>
      </w:r>
      <w:r w:rsidRPr="001D1FB6">
        <w:rPr>
          <w:rFonts w:ascii="Verdana" w:hAnsi="Verdana"/>
          <w:sz w:val="18"/>
          <w:szCs w:val="18"/>
        </w:rPr>
        <w:tab/>
      </w:r>
      <w:r w:rsidRPr="001D1FB6">
        <w:rPr>
          <w:rFonts w:ascii="Verdana" w:hAnsi="Verdana"/>
          <w:sz w:val="18"/>
          <w:szCs w:val="18"/>
        </w:rPr>
        <w:tab/>
      </w:r>
    </w:p>
    <w:p w14:paraId="03128BE9" w14:textId="77777777" w:rsidR="00DC761E" w:rsidRPr="001D1FB6" w:rsidRDefault="00DC761E" w:rsidP="00F11BF7">
      <w:pPr>
        <w:spacing w:line="260" w:lineRule="atLeast"/>
        <w:rPr>
          <w:rFonts w:ascii="Verdana" w:hAnsi="Verdana"/>
          <w:sz w:val="18"/>
          <w:szCs w:val="18"/>
        </w:rPr>
      </w:pPr>
    </w:p>
    <w:p w14:paraId="798E195F" w14:textId="77777777" w:rsidR="00DC761E" w:rsidRPr="001D1FB6" w:rsidRDefault="00DC761E" w:rsidP="00F11BF7">
      <w:pPr>
        <w:spacing w:line="260" w:lineRule="atLeast"/>
        <w:rPr>
          <w:rFonts w:ascii="Verdana" w:hAnsi="Verdana"/>
          <w:sz w:val="18"/>
          <w:szCs w:val="18"/>
        </w:rPr>
      </w:pPr>
    </w:p>
    <w:p w14:paraId="5B704667" w14:textId="77777777" w:rsidR="00DC761E" w:rsidRDefault="00DC761E" w:rsidP="00F11BF7">
      <w:pPr>
        <w:spacing w:line="260" w:lineRule="atLeast"/>
        <w:rPr>
          <w:rFonts w:ascii="Verdana" w:hAnsi="Verdana"/>
          <w:sz w:val="18"/>
          <w:szCs w:val="18"/>
        </w:rPr>
      </w:pPr>
      <w:r w:rsidRPr="001D1FB6">
        <w:rPr>
          <w:rFonts w:ascii="Verdana" w:hAnsi="Verdana"/>
          <w:sz w:val="18"/>
          <w:szCs w:val="18"/>
        </w:rPr>
        <w:t xml:space="preserve">De </w:t>
      </w:r>
      <w:r>
        <w:rPr>
          <w:rFonts w:ascii="Verdana" w:hAnsi="Verdana"/>
          <w:sz w:val="18"/>
          <w:szCs w:val="18"/>
        </w:rPr>
        <w:t>M</w:t>
      </w:r>
      <w:r w:rsidRPr="001D1FB6">
        <w:rPr>
          <w:rFonts w:ascii="Verdana" w:hAnsi="Verdana"/>
          <w:sz w:val="18"/>
          <w:szCs w:val="18"/>
        </w:rPr>
        <w:t xml:space="preserve">inister van </w:t>
      </w:r>
      <w:r>
        <w:rPr>
          <w:rFonts w:ascii="Verdana" w:hAnsi="Verdana"/>
          <w:sz w:val="18"/>
          <w:szCs w:val="18"/>
        </w:rPr>
        <w:t>Justitie</w:t>
      </w:r>
      <w:r w:rsidRPr="001D1FB6">
        <w:rPr>
          <w:rFonts w:ascii="Verdana" w:hAnsi="Verdana"/>
          <w:sz w:val="18"/>
          <w:szCs w:val="18"/>
        </w:rPr>
        <w:t>,</w:t>
      </w:r>
    </w:p>
    <w:p w14:paraId="7D49B5C1" w14:textId="77777777" w:rsidR="00DC761E" w:rsidRDefault="00DC761E" w:rsidP="00F11BF7">
      <w:pPr>
        <w:spacing w:line="260" w:lineRule="atLeast"/>
        <w:rPr>
          <w:rFonts w:ascii="Verdana" w:hAnsi="Verdana"/>
          <w:sz w:val="18"/>
          <w:szCs w:val="18"/>
        </w:rPr>
      </w:pPr>
    </w:p>
    <w:p w14:paraId="0FCEB33D" w14:textId="77777777" w:rsidR="00DC761E" w:rsidRDefault="00DC761E" w:rsidP="00F11BF7">
      <w:pPr>
        <w:spacing w:line="260" w:lineRule="atLeast"/>
        <w:rPr>
          <w:rFonts w:ascii="Verdana" w:hAnsi="Verdana"/>
          <w:sz w:val="18"/>
          <w:szCs w:val="18"/>
        </w:rPr>
      </w:pPr>
    </w:p>
    <w:p w14:paraId="07BEE409" w14:textId="77777777" w:rsidR="00DC761E" w:rsidRDefault="00DC761E" w:rsidP="00F11BF7">
      <w:pPr>
        <w:spacing w:line="260" w:lineRule="atLeast"/>
        <w:rPr>
          <w:rFonts w:ascii="Verdana" w:hAnsi="Verdana"/>
          <w:sz w:val="18"/>
          <w:szCs w:val="18"/>
        </w:rPr>
      </w:pPr>
    </w:p>
    <w:p w14:paraId="413EDB93" w14:textId="77777777" w:rsidR="00DC761E" w:rsidRDefault="00DC761E" w:rsidP="00F11BF7">
      <w:pPr>
        <w:spacing w:line="260" w:lineRule="atLeast"/>
        <w:rPr>
          <w:rFonts w:ascii="Verdana" w:hAnsi="Verdana"/>
          <w:sz w:val="18"/>
          <w:szCs w:val="18"/>
        </w:rPr>
      </w:pPr>
    </w:p>
    <w:p w14:paraId="09D83958" w14:textId="78740880" w:rsidR="00DC761E" w:rsidRPr="008C5DA9" w:rsidRDefault="00DC761E" w:rsidP="00F11BF7">
      <w:pPr>
        <w:spacing w:line="260" w:lineRule="atLeast"/>
        <w:rPr>
          <w:rFonts w:ascii="Verdana" w:hAnsi="Verdana"/>
          <w:sz w:val="18"/>
          <w:szCs w:val="18"/>
          <w:lang w:val="en-US"/>
        </w:rPr>
      </w:pPr>
      <w:r w:rsidRPr="008C5DA9">
        <w:rPr>
          <w:rFonts w:ascii="Verdana" w:hAnsi="Verdana"/>
          <w:sz w:val="18"/>
          <w:szCs w:val="18"/>
          <w:lang w:val="en-US"/>
        </w:rPr>
        <w:t xml:space="preserve">De Minister van </w:t>
      </w:r>
      <w:proofErr w:type="spellStart"/>
      <w:r w:rsidRPr="008C5DA9">
        <w:rPr>
          <w:rFonts w:ascii="Verdana" w:hAnsi="Verdana"/>
          <w:sz w:val="18"/>
          <w:szCs w:val="18"/>
          <w:lang w:val="en-US"/>
        </w:rPr>
        <w:t>Financiën</w:t>
      </w:r>
      <w:proofErr w:type="spellEnd"/>
    </w:p>
    <w:p w14:paraId="48DE68AC" w14:textId="77777777" w:rsidR="006E77C1" w:rsidRDefault="006E77C1" w:rsidP="00F11BF7">
      <w:pPr>
        <w:spacing w:line="260" w:lineRule="atLeast"/>
        <w:rPr>
          <w:rFonts w:ascii="Verdana" w:hAnsi="Verdana"/>
          <w:sz w:val="18"/>
          <w:szCs w:val="18"/>
          <w:lang w:val="en-US"/>
        </w:rPr>
      </w:pPr>
    </w:p>
    <w:p w14:paraId="342996C2" w14:textId="77777777" w:rsidR="006E77C1" w:rsidRDefault="006E77C1" w:rsidP="00F11BF7">
      <w:pPr>
        <w:spacing w:line="260" w:lineRule="atLeast"/>
        <w:rPr>
          <w:rFonts w:ascii="Verdana" w:hAnsi="Verdana"/>
          <w:sz w:val="18"/>
          <w:szCs w:val="18"/>
          <w:lang w:val="en-US"/>
        </w:rPr>
      </w:pPr>
    </w:p>
    <w:p w14:paraId="4333C8F2" w14:textId="77777777" w:rsidR="006E77C1" w:rsidRDefault="006E77C1" w:rsidP="00F11BF7">
      <w:pPr>
        <w:spacing w:line="260" w:lineRule="atLeast"/>
        <w:rPr>
          <w:rFonts w:ascii="Verdana" w:hAnsi="Verdana"/>
          <w:sz w:val="18"/>
          <w:szCs w:val="18"/>
          <w:lang w:val="en-US"/>
        </w:rPr>
      </w:pPr>
    </w:p>
    <w:p w14:paraId="7B8B5B32" w14:textId="77777777" w:rsidR="006E77C1" w:rsidRDefault="006E77C1" w:rsidP="00F11BF7">
      <w:pPr>
        <w:spacing w:line="260" w:lineRule="atLeast"/>
        <w:rPr>
          <w:rFonts w:ascii="Verdana" w:hAnsi="Verdana"/>
          <w:sz w:val="18"/>
          <w:szCs w:val="18"/>
          <w:lang w:val="en-US"/>
        </w:rPr>
      </w:pPr>
    </w:p>
    <w:p w14:paraId="4594CCFB" w14:textId="77777777" w:rsidR="006E77C1" w:rsidRDefault="006E77C1" w:rsidP="00F11BF7">
      <w:pPr>
        <w:spacing w:line="260" w:lineRule="atLeast"/>
        <w:rPr>
          <w:rFonts w:ascii="Verdana" w:hAnsi="Verdana"/>
          <w:sz w:val="18"/>
          <w:szCs w:val="18"/>
          <w:lang w:val="en-US"/>
        </w:rPr>
      </w:pPr>
    </w:p>
    <w:p w14:paraId="2858178E" w14:textId="77777777" w:rsidR="006E77C1" w:rsidRDefault="006E77C1" w:rsidP="00F11BF7">
      <w:pPr>
        <w:spacing w:line="260" w:lineRule="atLeast"/>
        <w:rPr>
          <w:rFonts w:ascii="Verdana" w:hAnsi="Verdana"/>
          <w:sz w:val="18"/>
          <w:szCs w:val="18"/>
          <w:lang w:val="en-US"/>
        </w:rPr>
      </w:pPr>
    </w:p>
    <w:p w14:paraId="63B9D3DC" w14:textId="77777777" w:rsidR="006E77C1" w:rsidRDefault="006E77C1" w:rsidP="00F11BF7">
      <w:pPr>
        <w:spacing w:line="260" w:lineRule="atLeast"/>
        <w:rPr>
          <w:rFonts w:ascii="Verdana" w:hAnsi="Verdana"/>
          <w:sz w:val="18"/>
          <w:szCs w:val="18"/>
          <w:lang w:val="en-US"/>
        </w:rPr>
      </w:pPr>
    </w:p>
    <w:p w14:paraId="32D8DEA2" w14:textId="77777777" w:rsidR="006E77C1" w:rsidRDefault="006E77C1" w:rsidP="00F11BF7">
      <w:pPr>
        <w:spacing w:line="260" w:lineRule="atLeast"/>
        <w:rPr>
          <w:rFonts w:ascii="Verdana" w:hAnsi="Verdana"/>
          <w:sz w:val="18"/>
          <w:szCs w:val="18"/>
          <w:lang w:val="en-US"/>
        </w:rPr>
      </w:pPr>
    </w:p>
    <w:p w14:paraId="2337557E" w14:textId="77777777" w:rsidR="006E77C1" w:rsidRDefault="006E77C1" w:rsidP="00F11BF7">
      <w:pPr>
        <w:spacing w:line="260" w:lineRule="atLeast"/>
        <w:rPr>
          <w:rFonts w:ascii="Verdana" w:hAnsi="Verdana"/>
          <w:sz w:val="18"/>
          <w:szCs w:val="18"/>
          <w:lang w:val="en-US"/>
        </w:rPr>
      </w:pPr>
    </w:p>
    <w:p w14:paraId="15EDCCBA" w14:textId="77777777" w:rsidR="006E77C1" w:rsidRDefault="006E77C1" w:rsidP="00F11BF7">
      <w:pPr>
        <w:spacing w:line="260" w:lineRule="atLeast"/>
        <w:rPr>
          <w:rFonts w:ascii="Verdana" w:hAnsi="Verdana"/>
          <w:sz w:val="18"/>
          <w:szCs w:val="18"/>
          <w:lang w:val="en-US"/>
        </w:rPr>
      </w:pPr>
    </w:p>
    <w:p w14:paraId="7DA98617" w14:textId="77777777" w:rsidR="006E77C1" w:rsidRDefault="006E77C1" w:rsidP="00F11BF7">
      <w:pPr>
        <w:spacing w:line="260" w:lineRule="atLeast"/>
        <w:rPr>
          <w:rFonts w:ascii="Verdana" w:hAnsi="Verdana"/>
          <w:sz w:val="18"/>
          <w:szCs w:val="18"/>
          <w:lang w:val="en-US"/>
        </w:rPr>
      </w:pPr>
    </w:p>
    <w:p w14:paraId="2EED0A3B" w14:textId="77777777" w:rsidR="006E77C1" w:rsidRDefault="006E77C1" w:rsidP="00F11BF7">
      <w:pPr>
        <w:spacing w:line="260" w:lineRule="atLeast"/>
        <w:rPr>
          <w:rFonts w:ascii="Verdana" w:hAnsi="Verdana"/>
          <w:sz w:val="18"/>
          <w:szCs w:val="18"/>
          <w:lang w:val="en-US"/>
        </w:rPr>
      </w:pPr>
    </w:p>
    <w:p w14:paraId="74F1E1D0" w14:textId="77777777" w:rsidR="006E77C1" w:rsidRDefault="006E77C1" w:rsidP="00F11BF7">
      <w:pPr>
        <w:spacing w:line="260" w:lineRule="atLeast"/>
        <w:rPr>
          <w:rFonts w:ascii="Verdana" w:hAnsi="Verdana"/>
          <w:sz w:val="18"/>
          <w:szCs w:val="18"/>
          <w:lang w:val="en-US"/>
        </w:rPr>
      </w:pPr>
    </w:p>
    <w:p w14:paraId="4893A782" w14:textId="77777777" w:rsidR="006E77C1" w:rsidRDefault="006E77C1" w:rsidP="00F11BF7">
      <w:pPr>
        <w:spacing w:line="260" w:lineRule="atLeast"/>
        <w:rPr>
          <w:rFonts w:ascii="Verdana" w:hAnsi="Verdana"/>
          <w:sz w:val="18"/>
          <w:szCs w:val="18"/>
          <w:lang w:val="en-US"/>
        </w:rPr>
      </w:pPr>
    </w:p>
    <w:p w14:paraId="58BF6831" w14:textId="77777777" w:rsidR="006E77C1" w:rsidRDefault="006E77C1" w:rsidP="00F11BF7">
      <w:pPr>
        <w:spacing w:line="260" w:lineRule="atLeast"/>
        <w:rPr>
          <w:rFonts w:ascii="Verdana" w:hAnsi="Verdana"/>
          <w:sz w:val="18"/>
          <w:szCs w:val="18"/>
          <w:lang w:val="en-US"/>
        </w:rPr>
      </w:pPr>
    </w:p>
    <w:p w14:paraId="0A2A73B7" w14:textId="77777777" w:rsidR="006E77C1" w:rsidRDefault="006E77C1" w:rsidP="00F11BF7">
      <w:pPr>
        <w:spacing w:line="260" w:lineRule="atLeast"/>
        <w:rPr>
          <w:rFonts w:ascii="Verdana" w:hAnsi="Verdana"/>
          <w:sz w:val="18"/>
          <w:szCs w:val="18"/>
          <w:lang w:val="en-US"/>
        </w:rPr>
      </w:pPr>
    </w:p>
    <w:p w14:paraId="0C77983B" w14:textId="77777777" w:rsidR="006E77C1" w:rsidRDefault="006E77C1" w:rsidP="00F11BF7">
      <w:pPr>
        <w:spacing w:line="260" w:lineRule="atLeast"/>
        <w:rPr>
          <w:rFonts w:ascii="Verdana" w:hAnsi="Verdana"/>
          <w:sz w:val="18"/>
          <w:szCs w:val="18"/>
          <w:lang w:val="en-US"/>
        </w:rPr>
      </w:pPr>
    </w:p>
    <w:p w14:paraId="233563F4" w14:textId="77777777" w:rsidR="006E77C1" w:rsidRDefault="006E77C1" w:rsidP="00F11BF7">
      <w:pPr>
        <w:spacing w:line="260" w:lineRule="atLeast"/>
        <w:rPr>
          <w:rFonts w:ascii="Verdana" w:hAnsi="Verdana"/>
          <w:sz w:val="18"/>
          <w:szCs w:val="18"/>
          <w:lang w:val="en-US"/>
        </w:rPr>
      </w:pPr>
    </w:p>
    <w:p w14:paraId="3C498EF2" w14:textId="77777777" w:rsidR="006E77C1" w:rsidRDefault="006E77C1" w:rsidP="00F11BF7">
      <w:pPr>
        <w:spacing w:line="260" w:lineRule="atLeast"/>
        <w:rPr>
          <w:rFonts w:ascii="Verdana" w:hAnsi="Verdana"/>
          <w:sz w:val="18"/>
          <w:szCs w:val="18"/>
          <w:lang w:val="en-US"/>
        </w:rPr>
      </w:pPr>
    </w:p>
    <w:sectPr w:rsidR="006E77C1" w:rsidSect="0049451C">
      <w:footnotePr>
        <w:numFmt w:val="chicago"/>
      </w:footnotePr>
      <w:type w:val="continuous"/>
      <w:pgSz w:w="11906" w:h="16838" w:code="9"/>
      <w:pgMar w:top="1418" w:right="964" w:bottom="1418" w:left="4082"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FE5E8" w14:textId="77777777" w:rsidR="00312E01" w:rsidRDefault="00312E01">
      <w:r>
        <w:separator/>
      </w:r>
    </w:p>
  </w:endnote>
  <w:endnote w:type="continuationSeparator" w:id="0">
    <w:p w14:paraId="73FFA600" w14:textId="77777777" w:rsidR="00312E01" w:rsidRDefault="0031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A7D9" w14:textId="77777777" w:rsidR="0049451C" w:rsidRDefault="00DC761E" w:rsidP="004945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18EF26" w14:textId="77777777" w:rsidR="0049451C" w:rsidRDefault="0049451C" w:rsidP="004945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6B3A0" w14:textId="77777777" w:rsidR="0049451C" w:rsidRPr="00B63E24" w:rsidRDefault="00DC761E" w:rsidP="0049451C">
    <w:pPr>
      <w:pStyle w:val="Footer"/>
      <w:framePr w:wrap="around" w:vAnchor="text" w:hAnchor="margin" w:xAlign="center" w:y="1"/>
      <w:rPr>
        <w:rStyle w:val="PageNumber"/>
        <w:rFonts w:ascii="Verdana" w:hAnsi="Verdana"/>
        <w:sz w:val="18"/>
        <w:szCs w:val="18"/>
      </w:rPr>
    </w:pPr>
    <w:r w:rsidRPr="00B63E24">
      <w:rPr>
        <w:rStyle w:val="PageNumber"/>
        <w:rFonts w:ascii="Verdana" w:hAnsi="Verdana"/>
        <w:sz w:val="18"/>
        <w:szCs w:val="18"/>
      </w:rPr>
      <w:fldChar w:fldCharType="begin"/>
    </w:r>
    <w:r w:rsidRPr="00B63E24">
      <w:rPr>
        <w:rStyle w:val="PageNumber"/>
        <w:rFonts w:ascii="Verdana" w:hAnsi="Verdana"/>
        <w:sz w:val="18"/>
        <w:szCs w:val="18"/>
      </w:rPr>
      <w:instrText xml:space="preserve">PAGE  </w:instrText>
    </w:r>
    <w:r w:rsidRPr="00B63E24">
      <w:rPr>
        <w:rStyle w:val="PageNumber"/>
        <w:rFonts w:ascii="Verdana" w:hAnsi="Verdana"/>
        <w:sz w:val="18"/>
        <w:szCs w:val="18"/>
      </w:rPr>
      <w:fldChar w:fldCharType="separate"/>
    </w:r>
    <w:r w:rsidR="006D4BE4">
      <w:rPr>
        <w:rStyle w:val="PageNumber"/>
        <w:rFonts w:ascii="Verdana" w:hAnsi="Verdana"/>
        <w:noProof/>
        <w:sz w:val="18"/>
        <w:szCs w:val="18"/>
      </w:rPr>
      <w:t>7</w:t>
    </w:r>
    <w:r w:rsidRPr="00B63E24">
      <w:rPr>
        <w:rStyle w:val="PageNumber"/>
        <w:rFonts w:ascii="Verdana" w:hAnsi="Verdana"/>
        <w:sz w:val="18"/>
        <w:szCs w:val="18"/>
      </w:rPr>
      <w:fldChar w:fldCharType="end"/>
    </w:r>
  </w:p>
  <w:p w14:paraId="7075E42D" w14:textId="77777777" w:rsidR="0049451C" w:rsidRDefault="00494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9B7BA" w14:textId="77777777" w:rsidR="00312E01" w:rsidRDefault="00312E01">
      <w:r>
        <w:separator/>
      </w:r>
    </w:p>
  </w:footnote>
  <w:footnote w:type="continuationSeparator" w:id="0">
    <w:p w14:paraId="2036473B" w14:textId="77777777" w:rsidR="00312E01" w:rsidRDefault="00312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0786"/>
    <w:multiLevelType w:val="multilevel"/>
    <w:tmpl w:val="B434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B33C2"/>
    <w:multiLevelType w:val="multilevel"/>
    <w:tmpl w:val="8AB8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C5EE3"/>
    <w:multiLevelType w:val="multilevel"/>
    <w:tmpl w:val="C6D4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97436"/>
    <w:multiLevelType w:val="multilevel"/>
    <w:tmpl w:val="2322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80A2A"/>
    <w:multiLevelType w:val="hybridMultilevel"/>
    <w:tmpl w:val="87403E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6F7E91"/>
    <w:multiLevelType w:val="multilevel"/>
    <w:tmpl w:val="CBC8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64462"/>
    <w:multiLevelType w:val="multilevel"/>
    <w:tmpl w:val="4CA25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C7783"/>
    <w:multiLevelType w:val="multilevel"/>
    <w:tmpl w:val="7940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407A2"/>
    <w:multiLevelType w:val="multilevel"/>
    <w:tmpl w:val="F422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352A4"/>
    <w:multiLevelType w:val="multilevel"/>
    <w:tmpl w:val="493A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848AB"/>
    <w:multiLevelType w:val="hybridMultilevel"/>
    <w:tmpl w:val="FDD20F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A93C4E"/>
    <w:multiLevelType w:val="multilevel"/>
    <w:tmpl w:val="8506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06712C"/>
    <w:multiLevelType w:val="multilevel"/>
    <w:tmpl w:val="FB46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496BB4"/>
    <w:multiLevelType w:val="multilevel"/>
    <w:tmpl w:val="49F0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423D93"/>
    <w:multiLevelType w:val="multilevel"/>
    <w:tmpl w:val="D7C6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15423"/>
    <w:multiLevelType w:val="multilevel"/>
    <w:tmpl w:val="264C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6785D"/>
    <w:multiLevelType w:val="hybridMultilevel"/>
    <w:tmpl w:val="00564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750400"/>
    <w:multiLevelType w:val="hybridMultilevel"/>
    <w:tmpl w:val="95B84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B1ED5"/>
    <w:multiLevelType w:val="hybridMultilevel"/>
    <w:tmpl w:val="95B84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E7A54"/>
    <w:multiLevelType w:val="multilevel"/>
    <w:tmpl w:val="8C58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3A2A4F"/>
    <w:multiLevelType w:val="hybridMultilevel"/>
    <w:tmpl w:val="95B84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A68F9"/>
    <w:multiLevelType w:val="multilevel"/>
    <w:tmpl w:val="B978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183347"/>
    <w:multiLevelType w:val="hybridMultilevel"/>
    <w:tmpl w:val="95B84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F318C"/>
    <w:multiLevelType w:val="multilevel"/>
    <w:tmpl w:val="0FCC5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B72A69"/>
    <w:multiLevelType w:val="hybridMultilevel"/>
    <w:tmpl w:val="85DCE0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F57510"/>
    <w:multiLevelType w:val="multilevel"/>
    <w:tmpl w:val="51BAA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596836"/>
    <w:multiLevelType w:val="multilevel"/>
    <w:tmpl w:val="4F98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9"/>
  </w:num>
  <w:num w:numId="4">
    <w:abstractNumId w:val="13"/>
  </w:num>
  <w:num w:numId="5">
    <w:abstractNumId w:val="26"/>
  </w:num>
  <w:num w:numId="6">
    <w:abstractNumId w:val="7"/>
  </w:num>
  <w:num w:numId="7">
    <w:abstractNumId w:val="2"/>
  </w:num>
  <w:num w:numId="8">
    <w:abstractNumId w:val="16"/>
  </w:num>
  <w:num w:numId="9">
    <w:abstractNumId w:val="19"/>
  </w:num>
  <w:num w:numId="10">
    <w:abstractNumId w:val="23"/>
  </w:num>
  <w:num w:numId="11">
    <w:abstractNumId w:val="3"/>
  </w:num>
  <w:num w:numId="12">
    <w:abstractNumId w:val="4"/>
  </w:num>
  <w:num w:numId="13">
    <w:abstractNumId w:val="15"/>
  </w:num>
  <w:num w:numId="14">
    <w:abstractNumId w:val="0"/>
  </w:num>
  <w:num w:numId="15">
    <w:abstractNumId w:val="6"/>
  </w:num>
  <w:num w:numId="16">
    <w:abstractNumId w:val="24"/>
  </w:num>
  <w:num w:numId="17">
    <w:abstractNumId w:val="25"/>
  </w:num>
  <w:num w:numId="18">
    <w:abstractNumId w:val="5"/>
  </w:num>
  <w:num w:numId="19">
    <w:abstractNumId w:val="1"/>
  </w:num>
  <w:num w:numId="20">
    <w:abstractNumId w:val="14"/>
  </w:num>
  <w:num w:numId="21">
    <w:abstractNumId w:val="10"/>
  </w:num>
  <w:num w:numId="22">
    <w:abstractNumId w:val="20"/>
  </w:num>
  <w:num w:numId="23">
    <w:abstractNumId w:val="21"/>
  </w:num>
  <w:num w:numId="24">
    <w:abstractNumId w:val="8"/>
  </w:num>
  <w:num w:numId="25">
    <w:abstractNumId w:val="18"/>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1E"/>
    <w:rsid w:val="000268D1"/>
    <w:rsid w:val="0005592F"/>
    <w:rsid w:val="00055C26"/>
    <w:rsid w:val="000733AA"/>
    <w:rsid w:val="000776B7"/>
    <w:rsid w:val="000868D1"/>
    <w:rsid w:val="000D3B77"/>
    <w:rsid w:val="000D6EEA"/>
    <w:rsid w:val="000E30F5"/>
    <w:rsid w:val="000E3100"/>
    <w:rsid w:val="000F23E5"/>
    <w:rsid w:val="00101E04"/>
    <w:rsid w:val="00110806"/>
    <w:rsid w:val="00112CF2"/>
    <w:rsid w:val="00113C84"/>
    <w:rsid w:val="0011406F"/>
    <w:rsid w:val="0012260D"/>
    <w:rsid w:val="00137627"/>
    <w:rsid w:val="0014268C"/>
    <w:rsid w:val="00150DBF"/>
    <w:rsid w:val="00153CF8"/>
    <w:rsid w:val="001629AB"/>
    <w:rsid w:val="001633FA"/>
    <w:rsid w:val="00165C4D"/>
    <w:rsid w:val="0017052D"/>
    <w:rsid w:val="00174CBD"/>
    <w:rsid w:val="00190592"/>
    <w:rsid w:val="001A34CD"/>
    <w:rsid w:val="001B1D30"/>
    <w:rsid w:val="001C13CA"/>
    <w:rsid w:val="001C18B7"/>
    <w:rsid w:val="001C1E12"/>
    <w:rsid w:val="001D233F"/>
    <w:rsid w:val="001D3A86"/>
    <w:rsid w:val="001D79C8"/>
    <w:rsid w:val="001F3643"/>
    <w:rsid w:val="00230DCD"/>
    <w:rsid w:val="00235B09"/>
    <w:rsid w:val="002450D2"/>
    <w:rsid w:val="00262A74"/>
    <w:rsid w:val="00263D38"/>
    <w:rsid w:val="002760C1"/>
    <w:rsid w:val="00282D9E"/>
    <w:rsid w:val="00297B86"/>
    <w:rsid w:val="002A00EF"/>
    <w:rsid w:val="002E32E8"/>
    <w:rsid w:val="002F15C0"/>
    <w:rsid w:val="00312E01"/>
    <w:rsid w:val="003132BA"/>
    <w:rsid w:val="00313564"/>
    <w:rsid w:val="00313B73"/>
    <w:rsid w:val="003278AC"/>
    <w:rsid w:val="00330C48"/>
    <w:rsid w:val="00345776"/>
    <w:rsid w:val="003569F5"/>
    <w:rsid w:val="003A2E36"/>
    <w:rsid w:val="003B10AE"/>
    <w:rsid w:val="003B660C"/>
    <w:rsid w:val="003B7049"/>
    <w:rsid w:val="003C16AF"/>
    <w:rsid w:val="003C4325"/>
    <w:rsid w:val="003E05CE"/>
    <w:rsid w:val="003E20AA"/>
    <w:rsid w:val="003F03EA"/>
    <w:rsid w:val="00402693"/>
    <w:rsid w:val="0040288F"/>
    <w:rsid w:val="00416A1C"/>
    <w:rsid w:val="004421C9"/>
    <w:rsid w:val="00446663"/>
    <w:rsid w:val="004770CB"/>
    <w:rsid w:val="00484EDF"/>
    <w:rsid w:val="004859A3"/>
    <w:rsid w:val="0049451C"/>
    <w:rsid w:val="004A4FD0"/>
    <w:rsid w:val="004A52C3"/>
    <w:rsid w:val="004A6343"/>
    <w:rsid w:val="004B6C64"/>
    <w:rsid w:val="004C5FD8"/>
    <w:rsid w:val="004C74F1"/>
    <w:rsid w:val="004D7742"/>
    <w:rsid w:val="004F0EBE"/>
    <w:rsid w:val="0050127C"/>
    <w:rsid w:val="0050598A"/>
    <w:rsid w:val="00505FC0"/>
    <w:rsid w:val="005121EC"/>
    <w:rsid w:val="005141A3"/>
    <w:rsid w:val="00520EF9"/>
    <w:rsid w:val="00521DB9"/>
    <w:rsid w:val="00522483"/>
    <w:rsid w:val="00541C1B"/>
    <w:rsid w:val="00545468"/>
    <w:rsid w:val="00547444"/>
    <w:rsid w:val="00550813"/>
    <w:rsid w:val="005569BE"/>
    <w:rsid w:val="0056006D"/>
    <w:rsid w:val="00565F8A"/>
    <w:rsid w:val="00571D1D"/>
    <w:rsid w:val="00573083"/>
    <w:rsid w:val="00580EFB"/>
    <w:rsid w:val="00587934"/>
    <w:rsid w:val="005A0A5A"/>
    <w:rsid w:val="005A543F"/>
    <w:rsid w:val="005B17AF"/>
    <w:rsid w:val="005B1DA1"/>
    <w:rsid w:val="005E6C56"/>
    <w:rsid w:val="005F13C8"/>
    <w:rsid w:val="005F4418"/>
    <w:rsid w:val="006032F4"/>
    <w:rsid w:val="006134FA"/>
    <w:rsid w:val="006160DE"/>
    <w:rsid w:val="006166FC"/>
    <w:rsid w:val="0062308A"/>
    <w:rsid w:val="00632538"/>
    <w:rsid w:val="006428E4"/>
    <w:rsid w:val="00644271"/>
    <w:rsid w:val="0066290D"/>
    <w:rsid w:val="006814BD"/>
    <w:rsid w:val="006A03A1"/>
    <w:rsid w:val="006A58BC"/>
    <w:rsid w:val="006C2AEF"/>
    <w:rsid w:val="006C2CB6"/>
    <w:rsid w:val="006D4BE4"/>
    <w:rsid w:val="006E77C1"/>
    <w:rsid w:val="006F610D"/>
    <w:rsid w:val="007113C1"/>
    <w:rsid w:val="007256D7"/>
    <w:rsid w:val="00737C07"/>
    <w:rsid w:val="00753BED"/>
    <w:rsid w:val="007608CE"/>
    <w:rsid w:val="007722FF"/>
    <w:rsid w:val="00781EB8"/>
    <w:rsid w:val="00785A9C"/>
    <w:rsid w:val="007865E9"/>
    <w:rsid w:val="00787548"/>
    <w:rsid w:val="00787A74"/>
    <w:rsid w:val="007A07F9"/>
    <w:rsid w:val="007A08CA"/>
    <w:rsid w:val="007B6A58"/>
    <w:rsid w:val="007D3356"/>
    <w:rsid w:val="007D5E9B"/>
    <w:rsid w:val="007D698C"/>
    <w:rsid w:val="007D733A"/>
    <w:rsid w:val="007F143B"/>
    <w:rsid w:val="00820FF0"/>
    <w:rsid w:val="00821505"/>
    <w:rsid w:val="00823BBF"/>
    <w:rsid w:val="00832B40"/>
    <w:rsid w:val="008472F4"/>
    <w:rsid w:val="00857F16"/>
    <w:rsid w:val="008700A9"/>
    <w:rsid w:val="008A71C8"/>
    <w:rsid w:val="008C3704"/>
    <w:rsid w:val="008C555C"/>
    <w:rsid w:val="008C5DA9"/>
    <w:rsid w:val="008F3D23"/>
    <w:rsid w:val="008F3E90"/>
    <w:rsid w:val="008F7BB8"/>
    <w:rsid w:val="008F7CB9"/>
    <w:rsid w:val="009034C8"/>
    <w:rsid w:val="009163DE"/>
    <w:rsid w:val="00922B96"/>
    <w:rsid w:val="009232A5"/>
    <w:rsid w:val="0093294C"/>
    <w:rsid w:val="00936A88"/>
    <w:rsid w:val="00947F89"/>
    <w:rsid w:val="009627BD"/>
    <w:rsid w:val="00962F54"/>
    <w:rsid w:val="0096321E"/>
    <w:rsid w:val="009661E2"/>
    <w:rsid w:val="00977F58"/>
    <w:rsid w:val="00997936"/>
    <w:rsid w:val="009A4A43"/>
    <w:rsid w:val="009A6A31"/>
    <w:rsid w:val="009B3D2C"/>
    <w:rsid w:val="009C15DC"/>
    <w:rsid w:val="009C36A3"/>
    <w:rsid w:val="009C4379"/>
    <w:rsid w:val="009D0182"/>
    <w:rsid w:val="009D47EA"/>
    <w:rsid w:val="00A07C03"/>
    <w:rsid w:val="00A16184"/>
    <w:rsid w:val="00A31DF5"/>
    <w:rsid w:val="00A4431B"/>
    <w:rsid w:val="00A51E18"/>
    <w:rsid w:val="00A55758"/>
    <w:rsid w:val="00A746B5"/>
    <w:rsid w:val="00A74FBE"/>
    <w:rsid w:val="00A905D5"/>
    <w:rsid w:val="00A94826"/>
    <w:rsid w:val="00A96508"/>
    <w:rsid w:val="00AA22B7"/>
    <w:rsid w:val="00AB7C27"/>
    <w:rsid w:val="00AC3A18"/>
    <w:rsid w:val="00AF4D65"/>
    <w:rsid w:val="00B46E05"/>
    <w:rsid w:val="00B76E13"/>
    <w:rsid w:val="00B96EF9"/>
    <w:rsid w:val="00BB0513"/>
    <w:rsid w:val="00BB38C9"/>
    <w:rsid w:val="00BB5DE4"/>
    <w:rsid w:val="00BD53D1"/>
    <w:rsid w:val="00BE13EB"/>
    <w:rsid w:val="00BF43A5"/>
    <w:rsid w:val="00C5226B"/>
    <w:rsid w:val="00C60206"/>
    <w:rsid w:val="00CA3B04"/>
    <w:rsid w:val="00CA488B"/>
    <w:rsid w:val="00CA7070"/>
    <w:rsid w:val="00CB1A59"/>
    <w:rsid w:val="00CB6312"/>
    <w:rsid w:val="00CB7850"/>
    <w:rsid w:val="00CC1C50"/>
    <w:rsid w:val="00CD556C"/>
    <w:rsid w:val="00CF6289"/>
    <w:rsid w:val="00D25B96"/>
    <w:rsid w:val="00D46FF1"/>
    <w:rsid w:val="00D52AA6"/>
    <w:rsid w:val="00D92AD0"/>
    <w:rsid w:val="00DA08BF"/>
    <w:rsid w:val="00DA0A4A"/>
    <w:rsid w:val="00DC05E4"/>
    <w:rsid w:val="00DC414A"/>
    <w:rsid w:val="00DC42B8"/>
    <w:rsid w:val="00DC761E"/>
    <w:rsid w:val="00DD036A"/>
    <w:rsid w:val="00DD03DE"/>
    <w:rsid w:val="00DF2CF2"/>
    <w:rsid w:val="00DF3012"/>
    <w:rsid w:val="00DF72CD"/>
    <w:rsid w:val="00E03408"/>
    <w:rsid w:val="00E07487"/>
    <w:rsid w:val="00E122DD"/>
    <w:rsid w:val="00E311C9"/>
    <w:rsid w:val="00E40CB8"/>
    <w:rsid w:val="00E44770"/>
    <w:rsid w:val="00E531B3"/>
    <w:rsid w:val="00E72957"/>
    <w:rsid w:val="00E72A53"/>
    <w:rsid w:val="00EA0607"/>
    <w:rsid w:val="00EB727D"/>
    <w:rsid w:val="00ED7B38"/>
    <w:rsid w:val="00ED7D35"/>
    <w:rsid w:val="00F019FF"/>
    <w:rsid w:val="00F11BF7"/>
    <w:rsid w:val="00F16A0E"/>
    <w:rsid w:val="00F2579C"/>
    <w:rsid w:val="00F46964"/>
    <w:rsid w:val="00F61919"/>
    <w:rsid w:val="00F63136"/>
    <w:rsid w:val="00F77A12"/>
    <w:rsid w:val="00F80C3F"/>
    <w:rsid w:val="00F833C5"/>
    <w:rsid w:val="00F87D56"/>
    <w:rsid w:val="00FA5D83"/>
    <w:rsid w:val="00FB1675"/>
    <w:rsid w:val="00FD599B"/>
    <w:rsid w:val="00FE0D31"/>
    <w:rsid w:val="00FE25EA"/>
    <w:rsid w:val="00FF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4687"/>
  <w15:chartTrackingRefBased/>
  <w15:docId w15:val="{4A08B522-1110-49FC-9E5C-E5FE2905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61E"/>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761E"/>
    <w:pPr>
      <w:tabs>
        <w:tab w:val="center" w:pos="4536"/>
        <w:tab w:val="right" w:pos="9072"/>
      </w:tabs>
    </w:pPr>
  </w:style>
  <w:style w:type="character" w:customStyle="1" w:styleId="FooterChar">
    <w:name w:val="Footer Char"/>
    <w:basedOn w:val="DefaultParagraphFont"/>
    <w:link w:val="Footer"/>
    <w:rsid w:val="00DC761E"/>
    <w:rPr>
      <w:rFonts w:ascii="Times New Roman" w:eastAsia="Times New Roman" w:hAnsi="Times New Roman" w:cs="Times New Roman"/>
      <w:sz w:val="24"/>
      <w:szCs w:val="24"/>
      <w:lang w:val="nl-NL" w:eastAsia="nl-NL"/>
    </w:rPr>
  </w:style>
  <w:style w:type="character" w:styleId="PageNumber">
    <w:name w:val="page number"/>
    <w:basedOn w:val="DefaultParagraphFont"/>
    <w:rsid w:val="00DC761E"/>
  </w:style>
  <w:style w:type="paragraph" w:styleId="ListParagraph">
    <w:name w:val="List Paragraph"/>
    <w:basedOn w:val="Normal"/>
    <w:qFormat/>
    <w:rsid w:val="00DC761E"/>
    <w:pPr>
      <w:overflowPunct w:val="0"/>
      <w:autoSpaceDE w:val="0"/>
      <w:autoSpaceDN w:val="0"/>
      <w:adjustRightInd w:val="0"/>
      <w:ind w:left="720"/>
      <w:contextualSpacing/>
      <w:textAlignment w:val="baseline"/>
    </w:pPr>
    <w:rPr>
      <w:sz w:val="20"/>
      <w:szCs w:val="20"/>
      <w:lang w:eastAsia="en-US"/>
    </w:rPr>
  </w:style>
  <w:style w:type="character" w:styleId="Hyperlink">
    <w:name w:val="Hyperlink"/>
    <w:basedOn w:val="DefaultParagraphFont"/>
    <w:uiPriority w:val="99"/>
    <w:semiHidden/>
    <w:unhideWhenUsed/>
    <w:rsid w:val="00547444"/>
    <w:rPr>
      <w:color w:val="0000FF"/>
      <w:u w:val="single"/>
    </w:rPr>
  </w:style>
  <w:style w:type="paragraph" w:customStyle="1" w:styleId="lid">
    <w:name w:val="lid"/>
    <w:basedOn w:val="Normal"/>
    <w:rsid w:val="007D3356"/>
    <w:pPr>
      <w:spacing w:before="100" w:beforeAutospacing="1" w:after="100" w:afterAutospacing="1"/>
    </w:pPr>
    <w:rPr>
      <w:lang w:val="en-US" w:eastAsia="en-US"/>
    </w:rPr>
  </w:style>
  <w:style w:type="character" w:customStyle="1" w:styleId="lidnr">
    <w:name w:val="lidnr"/>
    <w:basedOn w:val="DefaultParagraphFont"/>
    <w:rsid w:val="007D3356"/>
  </w:style>
  <w:style w:type="character" w:styleId="Emphasis">
    <w:name w:val="Emphasis"/>
    <w:basedOn w:val="DefaultParagraphFont"/>
    <w:uiPriority w:val="20"/>
    <w:qFormat/>
    <w:rsid w:val="007A08CA"/>
    <w:rPr>
      <w:i/>
      <w:iCs/>
    </w:rPr>
  </w:style>
  <w:style w:type="paragraph" w:customStyle="1" w:styleId="Normal1">
    <w:name w:val="Normal1"/>
    <w:basedOn w:val="Normal"/>
    <w:rsid w:val="00505FC0"/>
    <w:pPr>
      <w:spacing w:before="100" w:beforeAutospacing="1" w:after="100" w:afterAutospacing="1"/>
    </w:pPr>
    <w:rPr>
      <w:lang w:val="en-US" w:eastAsia="en-US"/>
    </w:rPr>
  </w:style>
  <w:style w:type="paragraph" w:customStyle="1" w:styleId="labeled">
    <w:name w:val="labeled"/>
    <w:basedOn w:val="Normal"/>
    <w:rsid w:val="00505FC0"/>
    <w:pPr>
      <w:spacing w:before="100" w:beforeAutospacing="1" w:after="100" w:afterAutospacing="1"/>
    </w:pPr>
    <w:rPr>
      <w:lang w:val="en-US" w:eastAsia="en-US"/>
    </w:rPr>
  </w:style>
  <w:style w:type="character" w:customStyle="1" w:styleId="ol">
    <w:name w:val="ol"/>
    <w:basedOn w:val="DefaultParagraphFont"/>
    <w:rsid w:val="00505FC0"/>
  </w:style>
  <w:style w:type="paragraph" w:customStyle="1" w:styleId="al">
    <w:name w:val="al"/>
    <w:basedOn w:val="Normal"/>
    <w:rsid w:val="00F61919"/>
    <w:pPr>
      <w:spacing w:before="100" w:beforeAutospacing="1" w:after="100" w:afterAutospacing="1"/>
    </w:pPr>
    <w:rPr>
      <w:lang w:val="aa-ET" w:eastAsia="aa-ET"/>
    </w:rPr>
  </w:style>
  <w:style w:type="table" w:styleId="TableGrid">
    <w:name w:val="Table Grid"/>
    <w:basedOn w:val="TableNormal"/>
    <w:uiPriority w:val="39"/>
    <w:rsid w:val="001C1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16A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37097">
      <w:bodyDiv w:val="1"/>
      <w:marLeft w:val="0"/>
      <w:marRight w:val="0"/>
      <w:marTop w:val="0"/>
      <w:marBottom w:val="0"/>
      <w:divBdr>
        <w:top w:val="none" w:sz="0" w:space="0" w:color="auto"/>
        <w:left w:val="none" w:sz="0" w:space="0" w:color="auto"/>
        <w:bottom w:val="none" w:sz="0" w:space="0" w:color="auto"/>
        <w:right w:val="none" w:sz="0" w:space="0" w:color="auto"/>
      </w:divBdr>
    </w:div>
    <w:div w:id="300615762">
      <w:bodyDiv w:val="1"/>
      <w:marLeft w:val="0"/>
      <w:marRight w:val="0"/>
      <w:marTop w:val="0"/>
      <w:marBottom w:val="0"/>
      <w:divBdr>
        <w:top w:val="none" w:sz="0" w:space="0" w:color="auto"/>
        <w:left w:val="none" w:sz="0" w:space="0" w:color="auto"/>
        <w:bottom w:val="none" w:sz="0" w:space="0" w:color="auto"/>
        <w:right w:val="none" w:sz="0" w:space="0" w:color="auto"/>
      </w:divBdr>
    </w:div>
    <w:div w:id="754590441">
      <w:bodyDiv w:val="1"/>
      <w:marLeft w:val="0"/>
      <w:marRight w:val="0"/>
      <w:marTop w:val="0"/>
      <w:marBottom w:val="0"/>
      <w:divBdr>
        <w:top w:val="none" w:sz="0" w:space="0" w:color="auto"/>
        <w:left w:val="none" w:sz="0" w:space="0" w:color="auto"/>
        <w:bottom w:val="none" w:sz="0" w:space="0" w:color="auto"/>
        <w:right w:val="none" w:sz="0" w:space="0" w:color="auto"/>
      </w:divBdr>
    </w:div>
    <w:div w:id="1029184556">
      <w:bodyDiv w:val="1"/>
      <w:marLeft w:val="0"/>
      <w:marRight w:val="0"/>
      <w:marTop w:val="0"/>
      <w:marBottom w:val="0"/>
      <w:divBdr>
        <w:top w:val="none" w:sz="0" w:space="0" w:color="auto"/>
        <w:left w:val="none" w:sz="0" w:space="0" w:color="auto"/>
        <w:bottom w:val="none" w:sz="0" w:space="0" w:color="auto"/>
        <w:right w:val="none" w:sz="0" w:space="0" w:color="auto"/>
      </w:divBdr>
    </w:div>
    <w:div w:id="1051423977">
      <w:bodyDiv w:val="1"/>
      <w:marLeft w:val="0"/>
      <w:marRight w:val="0"/>
      <w:marTop w:val="0"/>
      <w:marBottom w:val="0"/>
      <w:divBdr>
        <w:top w:val="none" w:sz="0" w:space="0" w:color="auto"/>
        <w:left w:val="none" w:sz="0" w:space="0" w:color="auto"/>
        <w:bottom w:val="none" w:sz="0" w:space="0" w:color="auto"/>
        <w:right w:val="none" w:sz="0" w:space="0" w:color="auto"/>
      </w:divBdr>
    </w:div>
    <w:div w:id="1728795508">
      <w:bodyDiv w:val="1"/>
      <w:marLeft w:val="0"/>
      <w:marRight w:val="0"/>
      <w:marTop w:val="0"/>
      <w:marBottom w:val="0"/>
      <w:divBdr>
        <w:top w:val="none" w:sz="0" w:space="0" w:color="auto"/>
        <w:left w:val="none" w:sz="0" w:space="0" w:color="auto"/>
        <w:bottom w:val="none" w:sz="0" w:space="0" w:color="auto"/>
        <w:right w:val="none" w:sz="0" w:space="0" w:color="auto"/>
      </w:divBdr>
      <w:divsChild>
        <w:div w:id="1018846650">
          <w:marLeft w:val="0"/>
          <w:marRight w:val="0"/>
          <w:marTop w:val="60"/>
          <w:marBottom w:val="60"/>
          <w:divBdr>
            <w:top w:val="none" w:sz="0" w:space="0" w:color="auto"/>
            <w:left w:val="none" w:sz="0" w:space="0" w:color="auto"/>
            <w:bottom w:val="none" w:sz="0" w:space="0" w:color="auto"/>
            <w:right w:val="none" w:sz="0" w:space="0" w:color="auto"/>
          </w:divBdr>
        </w:div>
        <w:div w:id="1023479014">
          <w:marLeft w:val="0"/>
          <w:marRight w:val="0"/>
          <w:marTop w:val="0"/>
          <w:marBottom w:val="0"/>
          <w:divBdr>
            <w:top w:val="none" w:sz="0" w:space="0" w:color="auto"/>
            <w:left w:val="none" w:sz="0" w:space="0" w:color="auto"/>
            <w:bottom w:val="none" w:sz="0" w:space="0" w:color="auto"/>
            <w:right w:val="none" w:sz="0" w:space="0" w:color="auto"/>
          </w:divBdr>
          <w:divsChild>
            <w:div w:id="89008684">
              <w:marLeft w:val="0"/>
              <w:marRight w:val="0"/>
              <w:marTop w:val="60"/>
              <w:marBottom w:val="60"/>
              <w:divBdr>
                <w:top w:val="none" w:sz="0" w:space="0" w:color="auto"/>
                <w:left w:val="none" w:sz="0" w:space="0" w:color="auto"/>
                <w:bottom w:val="none" w:sz="0" w:space="0" w:color="auto"/>
                <w:right w:val="none" w:sz="0" w:space="0" w:color="auto"/>
              </w:divBdr>
            </w:div>
          </w:divsChild>
        </w:div>
        <w:div w:id="1706901354">
          <w:marLeft w:val="0"/>
          <w:marRight w:val="0"/>
          <w:marTop w:val="0"/>
          <w:marBottom w:val="0"/>
          <w:divBdr>
            <w:top w:val="none" w:sz="0" w:space="0" w:color="auto"/>
            <w:left w:val="none" w:sz="0" w:space="0" w:color="auto"/>
            <w:bottom w:val="none" w:sz="0" w:space="0" w:color="auto"/>
            <w:right w:val="none" w:sz="0" w:space="0" w:color="auto"/>
          </w:divBdr>
          <w:divsChild>
            <w:div w:id="861281646">
              <w:marLeft w:val="0"/>
              <w:marRight w:val="0"/>
              <w:marTop w:val="60"/>
              <w:marBottom w:val="60"/>
              <w:divBdr>
                <w:top w:val="none" w:sz="0" w:space="0" w:color="auto"/>
                <w:left w:val="none" w:sz="0" w:space="0" w:color="auto"/>
                <w:bottom w:val="none" w:sz="0" w:space="0" w:color="auto"/>
                <w:right w:val="none" w:sz="0" w:space="0" w:color="auto"/>
              </w:divBdr>
            </w:div>
          </w:divsChild>
        </w:div>
        <w:div w:id="1990278606">
          <w:marLeft w:val="0"/>
          <w:marRight w:val="0"/>
          <w:marTop w:val="0"/>
          <w:marBottom w:val="0"/>
          <w:divBdr>
            <w:top w:val="none" w:sz="0" w:space="0" w:color="auto"/>
            <w:left w:val="none" w:sz="0" w:space="0" w:color="auto"/>
            <w:bottom w:val="none" w:sz="0" w:space="0" w:color="auto"/>
            <w:right w:val="none" w:sz="0" w:space="0" w:color="auto"/>
          </w:divBdr>
          <w:divsChild>
            <w:div w:id="1301694916">
              <w:marLeft w:val="0"/>
              <w:marRight w:val="0"/>
              <w:marTop w:val="60"/>
              <w:marBottom w:val="60"/>
              <w:divBdr>
                <w:top w:val="none" w:sz="0" w:space="0" w:color="auto"/>
                <w:left w:val="none" w:sz="0" w:space="0" w:color="auto"/>
                <w:bottom w:val="none" w:sz="0" w:space="0" w:color="auto"/>
                <w:right w:val="none" w:sz="0" w:space="0" w:color="auto"/>
              </w:divBdr>
            </w:div>
          </w:divsChild>
        </w:div>
        <w:div w:id="1792237257">
          <w:marLeft w:val="0"/>
          <w:marRight w:val="0"/>
          <w:marTop w:val="0"/>
          <w:marBottom w:val="0"/>
          <w:divBdr>
            <w:top w:val="none" w:sz="0" w:space="0" w:color="auto"/>
            <w:left w:val="none" w:sz="0" w:space="0" w:color="auto"/>
            <w:bottom w:val="none" w:sz="0" w:space="0" w:color="auto"/>
            <w:right w:val="none" w:sz="0" w:space="0" w:color="auto"/>
          </w:divBdr>
          <w:divsChild>
            <w:div w:id="1829780577">
              <w:marLeft w:val="0"/>
              <w:marRight w:val="0"/>
              <w:marTop w:val="60"/>
              <w:marBottom w:val="60"/>
              <w:divBdr>
                <w:top w:val="none" w:sz="0" w:space="0" w:color="auto"/>
                <w:left w:val="none" w:sz="0" w:space="0" w:color="auto"/>
                <w:bottom w:val="none" w:sz="0" w:space="0" w:color="auto"/>
                <w:right w:val="none" w:sz="0" w:space="0" w:color="auto"/>
              </w:divBdr>
            </w:div>
          </w:divsChild>
        </w:div>
        <w:div w:id="1268344381">
          <w:marLeft w:val="0"/>
          <w:marRight w:val="0"/>
          <w:marTop w:val="0"/>
          <w:marBottom w:val="0"/>
          <w:divBdr>
            <w:top w:val="none" w:sz="0" w:space="0" w:color="auto"/>
            <w:left w:val="none" w:sz="0" w:space="0" w:color="auto"/>
            <w:bottom w:val="none" w:sz="0" w:space="0" w:color="auto"/>
            <w:right w:val="none" w:sz="0" w:space="0" w:color="auto"/>
          </w:divBdr>
          <w:divsChild>
            <w:div w:id="185861554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30110191">
      <w:bodyDiv w:val="1"/>
      <w:marLeft w:val="0"/>
      <w:marRight w:val="0"/>
      <w:marTop w:val="0"/>
      <w:marBottom w:val="0"/>
      <w:divBdr>
        <w:top w:val="none" w:sz="0" w:space="0" w:color="auto"/>
        <w:left w:val="none" w:sz="0" w:space="0" w:color="auto"/>
        <w:bottom w:val="none" w:sz="0" w:space="0" w:color="auto"/>
        <w:right w:val="none" w:sz="0" w:space="0" w:color="auto"/>
      </w:divBdr>
    </w:div>
    <w:div w:id="1748072533">
      <w:bodyDiv w:val="1"/>
      <w:marLeft w:val="0"/>
      <w:marRight w:val="0"/>
      <w:marTop w:val="0"/>
      <w:marBottom w:val="0"/>
      <w:divBdr>
        <w:top w:val="none" w:sz="0" w:space="0" w:color="auto"/>
        <w:left w:val="none" w:sz="0" w:space="0" w:color="auto"/>
        <w:bottom w:val="none" w:sz="0" w:space="0" w:color="auto"/>
        <w:right w:val="none" w:sz="0" w:space="0" w:color="auto"/>
      </w:divBdr>
    </w:div>
    <w:div w:id="1752962952">
      <w:bodyDiv w:val="1"/>
      <w:marLeft w:val="0"/>
      <w:marRight w:val="0"/>
      <w:marTop w:val="0"/>
      <w:marBottom w:val="0"/>
      <w:divBdr>
        <w:top w:val="none" w:sz="0" w:space="0" w:color="auto"/>
        <w:left w:val="none" w:sz="0" w:space="0" w:color="auto"/>
        <w:bottom w:val="none" w:sz="0" w:space="0" w:color="auto"/>
        <w:right w:val="none" w:sz="0" w:space="0" w:color="auto"/>
      </w:divBdr>
    </w:div>
    <w:div w:id="181745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etten.overheid.nl/jci1.3:c:BWBR0001854&amp;artikel=225&amp;g=2019-08-01&amp;z=2019-08-01" TargetMode="External"/><Relationship Id="rId18" Type="http://schemas.openxmlformats.org/officeDocument/2006/relationships/hyperlink" Target="https://wetten.overheid.nl/jci1.3:c:BWBR0001854&amp;artikel=420ter&amp;g=2019-08-01&amp;z=2019-08-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etten.overheid.nl/jci1.3:c:BWBR0024282&amp;g=2019-08-01&amp;z=2019-08-01" TargetMode="External"/><Relationship Id="rId17" Type="http://schemas.openxmlformats.org/officeDocument/2006/relationships/hyperlink" Target="https://wetten.overheid.nl/jci1.3:c:BWBR0001854&amp;artikel=420bis&amp;g=2019-08-01&amp;z=2019-08-01" TargetMode="External"/><Relationship Id="rId2" Type="http://schemas.openxmlformats.org/officeDocument/2006/relationships/numbering" Target="numbering.xml"/><Relationship Id="rId16" Type="http://schemas.openxmlformats.org/officeDocument/2006/relationships/hyperlink" Target="https://wetten.overheid.nl/jci1.3:c:BWBR0001854&amp;artikel=341&amp;g=2019-08-01&amp;z=2019-08-01" TargetMode="External"/><Relationship Id="rId20" Type="http://schemas.openxmlformats.org/officeDocument/2006/relationships/hyperlink" Target="https://wetten.overheid.nl/BWBR0020368/2019-08-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ten.overheid.nl/BWBR0020368/2019-08-01/" TargetMode="External"/><Relationship Id="rId5" Type="http://schemas.openxmlformats.org/officeDocument/2006/relationships/webSettings" Target="webSettings.xml"/><Relationship Id="rId15" Type="http://schemas.openxmlformats.org/officeDocument/2006/relationships/hyperlink" Target="https://wetten.overheid.nl/jci1.3:c:BWBR0001854&amp;artikel=326&amp;g=2019-08-01&amp;z=2019-08-01" TargetMode="External"/><Relationship Id="rId10" Type="http://schemas.openxmlformats.org/officeDocument/2006/relationships/hyperlink" Target="http://eur-lex.europa.eu/legal-content/NL/TXT/?uri=CELEX%3A32014L0092" TargetMode="External"/><Relationship Id="rId19" Type="http://schemas.openxmlformats.org/officeDocument/2006/relationships/hyperlink" Target="https://wetten.overheid.nl/jci1.3:c:BWBR0024282&amp;g=2019-09-02&amp;z=2019-09-0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etten.overheid.nl/jci1.3:c:BWBR0001854&amp;artikel=227a&amp;g=2019-08-01&amp;z=2019-08-0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85F09-EB01-42A1-ADDA-BBE2F5C5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Rolando Brison</dc:creator>
  <cp:keywords/>
  <dc:description/>
  <cp:lastModifiedBy>Microsoft account</cp:lastModifiedBy>
  <cp:revision>2</cp:revision>
  <cp:lastPrinted>2019-04-11T13:56:00Z</cp:lastPrinted>
  <dcterms:created xsi:type="dcterms:W3CDTF">2022-01-07T00:53:00Z</dcterms:created>
  <dcterms:modified xsi:type="dcterms:W3CDTF">2022-01-07T00:53:00Z</dcterms:modified>
</cp:coreProperties>
</file>